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C53B64">
      <w:pPr>
        <w:pStyle w:val="3"/>
        <w:bidi w:val="0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安全检查操作手册-管理端</w:t>
      </w:r>
    </w:p>
    <w:p w14:paraId="414B7B44">
      <w:pPr>
        <w:spacing w:before="380" w:after="140" w:line="288" w:lineRule="auto"/>
        <w:ind w:firstLine="420" w:firstLineChars="0"/>
        <w:outlineLvl w:val="0"/>
        <w:rPr>
          <w:rFonts w:hint="eastAsia" w:ascii="宋体" w:hAnsi="宋体" w:eastAsia="宋体" w:cs="宋体"/>
          <w:b/>
          <w:sz w:val="28"/>
          <w:szCs w:val="28"/>
        </w:rPr>
      </w:pPr>
      <w:bookmarkStart w:id="0" w:name="heading_0"/>
      <w:r>
        <w:rPr>
          <w:rFonts w:hint="eastAsia" w:ascii="宋体" w:hAnsi="宋体" w:eastAsia="宋体" w:cs="宋体"/>
          <w:b/>
          <w:sz w:val="28"/>
          <w:szCs w:val="28"/>
        </w:rPr>
        <w:t>安全检查主要流程图</w:t>
      </w:r>
    </w:p>
    <w:p w14:paraId="5CA08203">
      <w:pPr>
        <w:spacing w:before="380" w:after="140" w:line="288" w:lineRule="auto"/>
        <w:outlineLvl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3675" cy="3434080"/>
            <wp:effectExtent l="0" t="0" r="3175" b="0"/>
            <wp:docPr id="1371288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8858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968A">
      <w:pPr>
        <w:spacing w:before="380" w:after="140" w:line="288" w:lineRule="auto"/>
        <w:outlineLvl w:val="0"/>
        <w:rPr>
          <w:rFonts w:hint="eastAsia" w:ascii="宋体" w:hAnsi="宋体" w:eastAsia="宋体" w:cs="宋体"/>
        </w:rPr>
      </w:pPr>
    </w:p>
    <w:p w14:paraId="7F116A45">
      <w:pPr>
        <w:spacing w:before="380" w:after="140" w:line="288" w:lineRule="auto"/>
        <w:outlineLvl w:val="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系统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端登录方式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</w:t>
      </w:r>
    </w:p>
    <w:p w14:paraId="45056EF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1、校内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访问系统地址：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  <w14:ligatures w14:val="standardContextual"/>
        </w:rPr>
        <w:t>https://labsc.ncu.edu.cn</w:t>
      </w:r>
    </w:p>
    <w:p w14:paraId="2A329CC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u w:val="none"/>
          <w:lang w:val="en-US" w:eastAsia="zh-CN" w:bidi="ar"/>
          <w14:ligatures w14:val="standardContextual"/>
        </w:rPr>
        <w:t>登录界面：</w:t>
      </w:r>
    </w:p>
    <w:p w14:paraId="3823B74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学校采用统一身份认证登陆，请选择前往统一身份认证界面进行登录，登录成功后进入菜单页面</w:t>
      </w:r>
    </w:p>
    <w:p w14:paraId="5C8AB07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12360" cy="2633980"/>
            <wp:effectExtent l="0" t="0" r="1524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214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移动端登录方式：</w:t>
      </w:r>
    </w:p>
    <w:p w14:paraId="14C2D01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kern w:val="0"/>
          <w:sz w:val="28"/>
          <w:szCs w:val="28"/>
          <w:u w:val="single"/>
          <w:lang w:val="en-US" w:eastAsia="zh-CN" w:bidi="ar"/>
          <w14:ligatures w14:val="standardContextual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1、</w:t>
      </w:r>
      <w:r>
        <w:rPr>
          <w:rFonts w:hint="eastAsia" w:ascii="宋体" w:hAnsi="宋体" w:eastAsia="宋体" w:cs="宋体"/>
          <w:lang w:val="en-US" w:eastAsia="zh-CN"/>
        </w:rPr>
        <w:t>手机浏览器输入网址：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  <w14:ligatures w14:val="standardContextual"/>
        </w:rPr>
        <w:t>https://labsc.ncu.edu.cn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z w:val="28"/>
          <w:szCs w:val="28"/>
          <w:lang w:val="en-US" w:eastAsia="zh-CN"/>
        </w:rPr>
        <w:t>/mobile</w:t>
      </w:r>
    </w:p>
    <w:p w14:paraId="2FD7DFA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2"/>
          <w:szCs w:val="22"/>
          <w:u w:val="none"/>
          <w:lang w:val="en-US" w:eastAsia="zh-CN" w:bidi="ar"/>
          <w14:ligatures w14:val="standardContextual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2"/>
          <w:szCs w:val="22"/>
          <w:u w:val="none"/>
          <w:lang w:val="en-US" w:eastAsia="zh-CN" w:bidi="ar"/>
          <w14:ligatures w14:val="standardContextual"/>
        </w:rPr>
        <w:t>3、手机扫码登录：</w:t>
      </w:r>
    </w:p>
    <w:p w14:paraId="4DF9727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宋体" w:hAnsi="宋体" w:eastAsia="宋体" w:cs="宋体"/>
          <w:b/>
          <w:bCs/>
          <w:color w:val="FF0000"/>
          <w:kern w:val="0"/>
          <w:sz w:val="22"/>
          <w:szCs w:val="22"/>
          <w:u w:val="none"/>
          <w:lang w:val="en-US" w:eastAsia="zh-CN" w:bidi="ar"/>
          <w14:ligatures w14:val="standardContextual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u w:val="none"/>
          <w:lang w:val="en-US" w:eastAsia="zh-CN" w:bidi="ar"/>
          <w14:ligatures w14:val="standardContextual"/>
        </w:rPr>
        <w:drawing>
          <wp:inline distT="0" distB="0" distL="114300" distR="114300">
            <wp:extent cx="2256790" cy="2256790"/>
            <wp:effectExtent l="0" t="0" r="3810" b="3810"/>
            <wp:docPr id="8" name="图片 8" descr="1_1026967666_171_85_3_934317590_26b5cbe15299de862cbc962e2a7b14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_1026967666_171_85_3_934317590_26b5cbe15299de862cbc962e2a7b14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GoBack"/>
      <w:bookmarkEnd w:id="17"/>
    </w:p>
    <w:p w14:paraId="3622E52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宋体" w:hAnsi="宋体" w:eastAsia="宋体" w:cs="宋体"/>
          <w:b/>
          <w:bCs/>
          <w:color w:val="FF0000"/>
          <w:kern w:val="0"/>
          <w:sz w:val="22"/>
          <w:szCs w:val="22"/>
          <w:u w:val="none"/>
          <w:lang w:val="en-US" w:eastAsia="zh-CN" w:bidi="ar"/>
          <w14:ligatures w14:val="standardContextual"/>
        </w:rPr>
      </w:pPr>
    </w:p>
    <w:p w14:paraId="1F0751B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</w:pPr>
      <w:r>
        <w:rPr>
          <w:rFonts w:hint="default" w:ascii="宋体" w:hAnsi="宋体" w:eastAsia="宋体" w:cs="宋体"/>
          <w:b/>
          <w:bCs/>
          <w:color w:val="auto"/>
          <w:kern w:val="0"/>
          <w:sz w:val="28"/>
          <w:szCs w:val="28"/>
          <w:u w:val="none"/>
          <w:lang w:val="en-US" w:eastAsia="zh-CN" w:bidi="ar"/>
          <w14:ligatures w14:val="standardContextual"/>
        </w:rPr>
        <w:t>PC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u w:val="none"/>
          <w:lang w:val="en-US" w:eastAsia="zh-CN" w:bidi="ar"/>
          <w14:ligatures w14:val="standardContextual"/>
        </w:rPr>
        <w:t>端进入后，找到安全检查模块：</w:t>
      </w:r>
    </w:p>
    <w:p w14:paraId="7A435C8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操作流程说明如下：</w:t>
      </w:r>
    </w:p>
    <w:p w14:paraId="4084301D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一、标准管理</w:t>
      </w:r>
      <w:bookmarkEnd w:id="0"/>
    </w:p>
    <w:p w14:paraId="2A3698A3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点击【标准管理】，进入到列表页；支持新增、编辑、配置指标。当前指标库为国家统一标准。</w:t>
      </w:r>
    </w:p>
    <w:p w14:paraId="0B8A5F5D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28900"/>
            <wp:effectExtent l="0" t="0" r="0" b="0"/>
            <wp:docPr id="1265311320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11320" name="Drawing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2476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点击右上角【新增标准库】按钮，输入对应的信息提交后可新增一个指标库；</w:t>
      </w:r>
    </w:p>
    <w:p w14:paraId="0078AD1F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552700"/>
            <wp:effectExtent l="0" t="0" r="0" b="0"/>
            <wp:docPr id="1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211B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新增指标库：输入指标库名称，是否开启共享，或直接启用停用等设置。</w:t>
      </w:r>
    </w:p>
    <w:p w14:paraId="0A80CE0C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19375"/>
            <wp:effectExtent l="0" t="0" r="0" b="0"/>
            <wp:docPr id="2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5B0C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点击【配置检查项】按钮，进入到指标配置页面；</w:t>
      </w:r>
    </w:p>
    <w:p w14:paraId="204A8B6E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28900"/>
            <wp:effectExtent l="0" t="0" r="0" b="12700"/>
            <wp:docPr id="3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AF4C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28900"/>
            <wp:effectExtent l="0" t="0" r="0" b="12700"/>
            <wp:docPr id="4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DEDF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t>导入功能：</w:t>
      </w:r>
    </w:p>
    <w:p w14:paraId="238AF485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09850"/>
            <wp:effectExtent l="0" t="0" r="0" b="6350"/>
            <wp:docPr id="5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4E30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t>新增功能：</w:t>
      </w:r>
    </w:p>
    <w:p w14:paraId="596B3FEF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7219950"/>
            <wp:effectExtent l="0" t="0" r="0" b="0"/>
            <wp:docPr id="6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52AA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</w:p>
    <w:p w14:paraId="0F9B2FE2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" w:name="heading_2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sz w:val="28"/>
          <w:szCs w:val="28"/>
        </w:rPr>
        <w:t>、检查对象管理</w:t>
      </w:r>
      <w:bookmarkEnd w:id="1"/>
    </w:p>
    <w:p w14:paraId="4F88A8B3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点击菜单【检查对象管理-&gt;房间管理】，进入到列表页面；</w:t>
      </w:r>
    </w:p>
    <w:p w14:paraId="48BCAC53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28900"/>
            <wp:effectExtent l="0" t="0" r="0" b="0"/>
            <wp:docPr id="10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C911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点击【导入】选择房间导入，根据校区楼宇筛选，勾选房间。</w:t>
      </w:r>
    </w:p>
    <w:p w14:paraId="6FCD4DA4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3752850"/>
            <wp:effectExtent l="0" t="0" r="0" b="0"/>
            <wp:docPr id="11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6206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</w:p>
    <w:p w14:paraId="584262EF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点击【新增】，支持单个新增房间，也可以根据模板进行导入。</w:t>
      </w:r>
    </w:p>
    <w:p w14:paraId="05DA541A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28900"/>
            <wp:effectExtent l="0" t="0" r="0" b="12700"/>
            <wp:docPr id="13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24CA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5067300"/>
            <wp:effectExtent l="0" t="0" r="0" b="0"/>
            <wp:docPr id="14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2DD3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点击人员管理，进入到人员配置页面，添加进该房间的人员均可以对该房间产生的隐患进行整改；</w:t>
      </w:r>
    </w:p>
    <w:p w14:paraId="101679FC">
      <w:pPr>
        <w:spacing w:before="120" w:after="120" w:line="288" w:lineRule="auto"/>
        <w:rPr>
          <w:rFonts w:hint="eastAsia" w:ascii="宋体" w:hAnsi="宋体" w:eastAsia="宋体" w:cs="宋体"/>
        </w:rPr>
      </w:pPr>
    </w:p>
    <w:p w14:paraId="309BECB1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552700"/>
            <wp:effectExtent l="0" t="0" r="0" b="0"/>
            <wp:docPr id="15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117F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t>人员配置：</w:t>
      </w:r>
    </w:p>
    <w:p w14:paraId="2AB0351E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4219575"/>
            <wp:effectExtent l="0" t="0" r="0" b="0"/>
            <wp:docPr id="16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7CAA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选择人员后提交，可为该检查对象添加整改人；</w:t>
      </w:r>
    </w:p>
    <w:p w14:paraId="25A56B83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3448050"/>
            <wp:effectExtent l="0" t="0" r="0" b="0"/>
            <wp:docPr id="17" name="Draw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4DB1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点击设置按钮，进入到检查指标项配置页面；</w:t>
      </w:r>
    </w:p>
    <w:p w14:paraId="4A23559E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543175"/>
            <wp:effectExtent l="0" t="0" r="0" b="0"/>
            <wp:docPr id="18" name="Draw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71D4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点击添加，即可为该检查对象添加需要检查的指标项；</w:t>
      </w:r>
    </w:p>
    <w:p w14:paraId="1B53AD48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4229100"/>
            <wp:effectExtent l="0" t="0" r="0" b="0"/>
            <wp:docPr id="19" name="Draw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B5FC5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3457575"/>
            <wp:effectExtent l="0" t="0" r="0" b="0"/>
            <wp:docPr id="20" name="Draw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06BF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2" w:name="heading_3"/>
      <w:r>
        <w:rPr>
          <w:rFonts w:hint="eastAsia" w:ascii="宋体" w:hAnsi="宋体" w:eastAsia="宋体" w:cs="宋体"/>
          <w:b/>
          <w:sz w:val="28"/>
          <w:szCs w:val="28"/>
        </w:rPr>
        <w:t>三、任务管理</w:t>
      </w:r>
      <w:bookmarkEnd w:id="2"/>
    </w:p>
    <w:p w14:paraId="653DA2BA">
      <w:pPr>
        <w:spacing w:before="320" w:after="120" w:line="288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3" w:name="heading_4"/>
      <w:r>
        <w:rPr>
          <w:rFonts w:hint="eastAsia" w:ascii="宋体" w:hAnsi="宋体" w:eastAsia="宋体" w:cs="宋体"/>
          <w:b/>
          <w:sz w:val="28"/>
          <w:szCs w:val="28"/>
        </w:rPr>
        <w:t>1.任务发起</w:t>
      </w:r>
      <w:bookmarkEnd w:id="3"/>
    </w:p>
    <w:p w14:paraId="0898B581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管理员进入到安全检查应用后，点击【任务管理-&gt;我管理的】，找到右上角【新增】按钮；</w:t>
      </w:r>
    </w:p>
    <w:p w14:paraId="6577D9F9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28900"/>
            <wp:effectExtent l="0" t="0" r="0" b="0"/>
            <wp:docPr id="21" name="Draw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0391">
      <w:pPr>
        <w:spacing w:before="320" w:after="120" w:line="288" w:lineRule="auto"/>
        <w:outlineLvl w:val="1"/>
        <w:rPr>
          <w:rFonts w:hint="eastAsia" w:ascii="宋体" w:hAnsi="宋体" w:eastAsia="宋体" w:cs="宋体"/>
        </w:rPr>
      </w:pPr>
      <w:bookmarkStart w:id="4" w:name="heading_5"/>
      <w:r>
        <w:rPr>
          <w:rFonts w:hint="eastAsia" w:ascii="宋体" w:hAnsi="宋体" w:eastAsia="宋体" w:cs="宋体"/>
          <w:b/>
          <w:sz w:val="32"/>
        </w:rPr>
        <w:t>2、检查类型</w:t>
      </w:r>
      <w:bookmarkEnd w:id="4"/>
    </w:p>
    <w:p w14:paraId="7C7FB0E8">
      <w:pPr>
        <w:spacing w:before="300" w:after="120" w:line="288" w:lineRule="auto"/>
        <w:outlineLvl w:val="2"/>
        <w:rPr>
          <w:rFonts w:hint="eastAsia" w:ascii="宋体" w:hAnsi="宋体" w:eastAsia="宋体" w:cs="宋体"/>
        </w:rPr>
      </w:pPr>
      <w:bookmarkStart w:id="5" w:name="heading_6"/>
      <w:r>
        <w:rPr>
          <w:rFonts w:hint="eastAsia" w:ascii="宋体" w:hAnsi="宋体" w:eastAsia="宋体" w:cs="宋体"/>
          <w:b/>
          <w:sz w:val="30"/>
        </w:rPr>
        <w:t>自查类型</w:t>
      </w:r>
      <w:bookmarkEnd w:id="5"/>
    </w:p>
    <w:p w14:paraId="49B2AF50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选择自查类型，按照以下标准进行发布。</w:t>
      </w:r>
    </w:p>
    <w:p w14:paraId="66FC73CA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6762750"/>
            <wp:effectExtent l="0" t="0" r="0" b="0"/>
            <wp:docPr id="22" name="Draw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0384">
      <w:pPr>
        <w:spacing w:before="300" w:after="120" w:line="288" w:lineRule="auto"/>
        <w:outlineLvl w:val="2"/>
        <w:rPr>
          <w:rFonts w:hint="eastAsia" w:ascii="宋体" w:hAnsi="宋体" w:eastAsia="宋体" w:cs="宋体"/>
          <w:sz w:val="28"/>
          <w:szCs w:val="28"/>
        </w:rPr>
      </w:pPr>
      <w:bookmarkStart w:id="6" w:name="heading_7"/>
      <w:r>
        <w:rPr>
          <w:rFonts w:hint="eastAsia" w:ascii="宋体" w:hAnsi="宋体" w:eastAsia="宋体" w:cs="宋体"/>
          <w:b/>
          <w:sz w:val="28"/>
          <w:szCs w:val="28"/>
        </w:rPr>
        <w:t>现场检查</w:t>
      </w:r>
      <w:bookmarkEnd w:id="6"/>
    </w:p>
    <w:p w14:paraId="6EDAD7CF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6781800"/>
            <wp:effectExtent l="0" t="0" r="0" b="0"/>
            <wp:docPr id="23" name="Draw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1FF3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点击发布后，该任务</w:t>
      </w:r>
      <w:r>
        <w:rPr>
          <w:rFonts w:hint="eastAsia" w:ascii="宋体" w:hAnsi="宋体" w:eastAsia="宋体" w:cs="宋体"/>
          <w:lang w:val="en-US" w:eastAsia="zh-CN"/>
        </w:rPr>
        <w:t>未开始状态下可撤回修改，</w:t>
      </w:r>
      <w:r>
        <w:rPr>
          <w:rFonts w:hint="eastAsia" w:ascii="宋体" w:hAnsi="宋体" w:eastAsia="宋体" w:cs="宋体"/>
        </w:rPr>
        <w:t>变为进行中的状态</w:t>
      </w:r>
      <w:r>
        <w:rPr>
          <w:rFonts w:hint="eastAsia" w:ascii="宋体" w:hAnsi="宋体" w:eastAsia="宋体" w:cs="宋体"/>
          <w:lang w:val="en-US" w:eastAsia="zh-CN"/>
        </w:rPr>
        <w:t>则无法撤回修改</w:t>
      </w:r>
    </w:p>
    <w:p w14:paraId="0654A1F2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28900"/>
            <wp:effectExtent l="0" t="0" r="0" b="0"/>
            <wp:docPr id="24" name="Draw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6D45">
      <w:pPr>
        <w:spacing w:before="300" w:after="120" w:line="288" w:lineRule="auto"/>
        <w:outlineLvl w:val="2"/>
        <w:rPr>
          <w:rFonts w:hint="eastAsia" w:ascii="宋体" w:hAnsi="宋体" w:eastAsia="宋体" w:cs="宋体"/>
        </w:rPr>
      </w:pPr>
      <w:bookmarkStart w:id="7" w:name="heading_8"/>
      <w:r>
        <w:rPr>
          <w:rFonts w:hint="eastAsia" w:ascii="宋体" w:hAnsi="宋体" w:eastAsia="宋体" w:cs="宋体"/>
          <w:b/>
          <w:sz w:val="30"/>
        </w:rPr>
        <w:t>3、生成报告</w:t>
      </w:r>
      <w:bookmarkEnd w:id="7"/>
    </w:p>
    <w:p w14:paraId="51CDDE49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点击【生成报告】按钮，进入检查报告页面</w:t>
      </w:r>
    </w:p>
    <w:p w14:paraId="61D577DA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3829050"/>
            <wp:effectExtent l="0" t="0" r="0" b="0"/>
            <wp:docPr id="25" name="Draw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BE29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6477000"/>
            <wp:effectExtent l="0" t="0" r="0" b="0"/>
            <wp:docPr id="26" name="Draw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0E2C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952750"/>
            <wp:effectExtent l="0" t="0" r="0" b="0"/>
            <wp:docPr id="27" name="Draw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A1AD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8" w:name="heading_9"/>
      <w:r>
        <w:rPr>
          <w:rFonts w:hint="eastAsia" w:ascii="宋体" w:hAnsi="宋体" w:eastAsia="宋体" w:cs="宋体"/>
          <w:b/>
          <w:sz w:val="28"/>
          <w:szCs w:val="28"/>
        </w:rPr>
        <w:t>四、审批</w:t>
      </w:r>
      <w:bookmarkEnd w:id="8"/>
    </w:p>
    <w:p w14:paraId="501E2EB5">
      <w:pPr>
        <w:spacing w:before="320" w:after="120" w:line="288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9" w:name="heading_10"/>
      <w:r>
        <w:rPr>
          <w:rFonts w:hint="eastAsia" w:ascii="宋体" w:hAnsi="宋体" w:eastAsia="宋体" w:cs="宋体"/>
          <w:b/>
          <w:sz w:val="28"/>
          <w:szCs w:val="28"/>
        </w:rPr>
        <w:t>1、检查记录审批</w:t>
      </w:r>
      <w:bookmarkEnd w:id="9"/>
    </w:p>
    <w:p w14:paraId="30F2ACD2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点击【检查记录审批】，进入到检查记录审批列表。</w:t>
      </w:r>
    </w:p>
    <w:p w14:paraId="68DCD0AC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00325"/>
            <wp:effectExtent l="0" t="0" r="0" b="0"/>
            <wp:docPr id="28" name="Draw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5543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点击【审批】按钮，进入到审批详情。查看该隐患的具体详情。</w:t>
      </w:r>
    </w:p>
    <w:p w14:paraId="4459D211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6391275"/>
            <wp:effectExtent l="0" t="0" r="0" b="0"/>
            <wp:docPr id="29" name="Draw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B137">
      <w:pPr>
        <w:spacing w:before="320" w:after="120" w:line="288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10" w:name="heading_11"/>
      <w:r>
        <w:rPr>
          <w:rFonts w:hint="eastAsia" w:ascii="宋体" w:hAnsi="宋体" w:eastAsia="宋体" w:cs="宋体"/>
          <w:b/>
          <w:sz w:val="28"/>
          <w:szCs w:val="28"/>
        </w:rPr>
        <w:t>2、隐患整改审批</w:t>
      </w:r>
      <w:bookmarkEnd w:id="10"/>
    </w:p>
    <w:p w14:paraId="6187590E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点击【隐患整改审批】菜单，进入到隐患整改审批列表。</w:t>
      </w:r>
    </w:p>
    <w:p w14:paraId="20705244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524125"/>
            <wp:effectExtent l="0" t="0" r="0" b="0"/>
            <wp:docPr id="30" name="Draw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CEED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点击【审批】按钮，进入到审批详情。查看该隐患的整改具体详情。</w:t>
      </w:r>
    </w:p>
    <w:p w14:paraId="6FDF13DD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7058025"/>
            <wp:effectExtent l="0" t="0" r="0" b="0"/>
            <wp:docPr id="31" name="Draw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0736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1" w:name="heading_12"/>
      <w:r>
        <w:rPr>
          <w:rFonts w:hint="eastAsia" w:ascii="宋体" w:hAnsi="宋体" w:eastAsia="宋体" w:cs="宋体"/>
          <w:b/>
          <w:sz w:val="28"/>
          <w:szCs w:val="28"/>
        </w:rPr>
        <w:t>五、隐患记录</w:t>
      </w:r>
      <w:bookmarkEnd w:id="11"/>
    </w:p>
    <w:p w14:paraId="07C37B43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点击【隐患记录】，进入到隐患记录列表。查看当前所有的隐患状态情况。校级看全部隐患记录，院级只看本院隐患记录</w:t>
      </w:r>
    </w:p>
    <w:p w14:paraId="715C683E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514600"/>
            <wp:effectExtent l="0" t="0" r="0" b="0"/>
            <wp:docPr id="32" name="Draw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8077E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2" w:name="heading_13"/>
      <w:r>
        <w:rPr>
          <w:rFonts w:hint="eastAsia" w:ascii="宋体" w:hAnsi="宋体" w:eastAsia="宋体" w:cs="宋体"/>
          <w:b/>
          <w:sz w:val="28"/>
          <w:szCs w:val="28"/>
        </w:rPr>
        <w:t>六、检查记录</w:t>
      </w:r>
      <w:bookmarkEnd w:id="12"/>
    </w:p>
    <w:p w14:paraId="11E40EB8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点击【检查记录】菜单，进入到检查记录列表。查看当前所有的检查记录。校级看全部检查记录，院级只看本院检查记录</w:t>
      </w:r>
    </w:p>
    <w:p w14:paraId="7515672F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524125"/>
            <wp:effectExtent l="0" t="0" r="0" b="0"/>
            <wp:docPr id="33" name="Draw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6036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3" w:name="heading_14"/>
      <w:r>
        <w:rPr>
          <w:rFonts w:hint="eastAsia" w:ascii="宋体" w:hAnsi="宋体" w:eastAsia="宋体" w:cs="宋体"/>
          <w:b/>
          <w:sz w:val="28"/>
          <w:szCs w:val="28"/>
        </w:rPr>
        <w:t>七、亮点记录</w:t>
      </w:r>
      <w:bookmarkEnd w:id="13"/>
    </w:p>
    <w:p w14:paraId="7B8BC9A9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点击【亮点记录】菜单，进入到亮点记录列表。查看当前所有的亮点记录。</w:t>
      </w:r>
    </w:p>
    <w:p w14:paraId="3CC454A0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514600"/>
            <wp:effectExtent l="0" t="0" r="0" b="0"/>
            <wp:docPr id="34" name="Draw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5E42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4" w:name="heading_15"/>
      <w:r>
        <w:rPr>
          <w:rFonts w:hint="eastAsia" w:ascii="宋体" w:hAnsi="宋体" w:eastAsia="宋体" w:cs="宋体"/>
          <w:b/>
          <w:sz w:val="28"/>
          <w:szCs w:val="28"/>
        </w:rPr>
        <w:t>八、检查报告</w:t>
      </w:r>
      <w:bookmarkEnd w:id="14"/>
    </w:p>
    <w:p w14:paraId="43FFE58A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点击【检查报告】菜单，进入到检查报告列表。查看当前所有的检查报告记录。</w:t>
      </w:r>
    </w:p>
    <w:p w14:paraId="4B15B79F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514600"/>
            <wp:effectExtent l="0" t="0" r="0" b="0"/>
            <wp:docPr id="35" name="Draw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3C76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点击【查看】按钮，进入到查看报告页面。</w:t>
      </w:r>
    </w:p>
    <w:p w14:paraId="71462B58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5676900"/>
            <wp:effectExtent l="0" t="0" r="0" b="0"/>
            <wp:docPr id="36" name="Draw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BCD1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点击【发送】按钮，选择发送人即可。</w:t>
      </w:r>
    </w:p>
    <w:p w14:paraId="26CD5C7E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3267075"/>
            <wp:effectExtent l="0" t="0" r="0" b="0"/>
            <wp:docPr id="37" name="Draw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1AF3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5" w:name="heading_16"/>
      <w:r>
        <w:rPr>
          <w:rFonts w:hint="eastAsia" w:ascii="宋体" w:hAnsi="宋体" w:eastAsia="宋体" w:cs="宋体"/>
          <w:b/>
          <w:sz w:val="28"/>
          <w:szCs w:val="28"/>
        </w:rPr>
        <w:t>九、整改通知书</w:t>
      </w:r>
      <w:bookmarkEnd w:id="15"/>
    </w:p>
    <w:p w14:paraId="61B0B990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点击【整改通知书】菜单，进入到整改通知书列表。查看当前所有的整改通知书记录。</w:t>
      </w:r>
    </w:p>
    <w:p w14:paraId="53CBA89F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514600"/>
            <wp:effectExtent l="0" t="0" r="0" b="0"/>
            <wp:docPr id="38" name="Draw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B766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点击【生成通知书】按钮，选择隐患生成通知书</w:t>
      </w:r>
    </w:p>
    <w:p w14:paraId="6758A383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200275"/>
            <wp:effectExtent l="0" t="0" r="0" b="0"/>
            <wp:docPr id="39" name="Draw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C22A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5638800"/>
            <wp:effectExtent l="0" t="0" r="0" b="0"/>
            <wp:docPr id="40" name="Draw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9C79">
      <w:pPr>
        <w:spacing w:before="120" w:after="120" w:line="288" w:lineRule="auto"/>
        <w:rPr>
          <w:rFonts w:hint="eastAsia" w:ascii="宋体" w:hAnsi="宋体" w:eastAsia="宋体" w:cs="宋体"/>
        </w:rPr>
      </w:pPr>
    </w:p>
    <w:p w14:paraId="6D5DB847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点击【查看】按钮，进入到查看通知书页面。支持打印</w:t>
      </w:r>
    </w:p>
    <w:p w14:paraId="3F737268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5657850"/>
            <wp:effectExtent l="0" t="0" r="0" b="0"/>
            <wp:docPr id="41" name="Draw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C7F0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点击【发送】按钮，选择发送人即可。</w:t>
      </w:r>
    </w:p>
    <w:p w14:paraId="451B18F4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3257550"/>
            <wp:effectExtent l="0" t="0" r="0" b="0"/>
            <wp:docPr id="42" name="Draw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2F85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6" w:name="heading_17"/>
      <w:r>
        <w:rPr>
          <w:rFonts w:hint="eastAsia" w:ascii="宋体" w:hAnsi="宋体" w:eastAsia="宋体" w:cs="宋体"/>
          <w:b/>
          <w:sz w:val="28"/>
          <w:szCs w:val="28"/>
        </w:rPr>
        <w:t>十、整改报告</w:t>
      </w:r>
      <w:bookmarkEnd w:id="16"/>
    </w:p>
    <w:p w14:paraId="7EC0C3D9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点击【整改报告】菜单，进入整改报告列表，查看当前所有整改报告记录。</w:t>
      </w:r>
    </w:p>
    <w:p w14:paraId="4426676C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514600"/>
            <wp:effectExtent l="0" t="0" r="0" b="0"/>
            <wp:docPr id="43" name="Draw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835D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点击【生成报告】按钮，选择通知书生成报告。</w:t>
      </w:r>
    </w:p>
    <w:p w14:paraId="7B6E3430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3038475"/>
            <wp:effectExtent l="0" t="0" r="0" b="0"/>
            <wp:docPr id="44" name="Draw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C1E6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094605" cy="5426710"/>
            <wp:effectExtent l="0" t="0" r="10795" b="8890"/>
            <wp:docPr id="45" name="Draw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40"/>
      <w:pgMar w:top="1440" w:right="1800" w:bottom="1440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BDB"/>
    <w:rsid w:val="004E461C"/>
    <w:rsid w:val="00507F0E"/>
    <w:rsid w:val="00BF1263"/>
    <w:rsid w:val="00C357A3"/>
    <w:rsid w:val="00C35A1F"/>
    <w:rsid w:val="00D238C4"/>
    <w:rsid w:val="00E36BDB"/>
    <w:rsid w:val="00F023FD"/>
    <w:rsid w:val="3FF9D93D"/>
    <w:rsid w:val="56E70FA2"/>
    <w:rsid w:val="7D9AE3DF"/>
    <w:rsid w:val="7F5F30A7"/>
    <w:rsid w:val="BCED0916"/>
    <w:rsid w:val="F79C346F"/>
    <w:rsid w:val="FF5F2DFF"/>
    <w:rsid w:val="FFDFF259"/>
    <w:rsid w:val="FFFD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1" Type="http://schemas.openxmlformats.org/officeDocument/2006/relationships/fontTable" Target="fontTable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210</Words>
  <Characters>1202</Characters>
  <Lines>10</Lines>
  <Paragraphs>2</Paragraphs>
  <TotalTime>0</TotalTime>
  <ScaleCrop>false</ScaleCrop>
  <LinksUpToDate>false</LinksUpToDate>
  <CharactersWithSpaces>1410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2024-09-14T17:49:00Z</dcterms:created>
  <dc:creator>Apache POI</dc:creator>
  <cp:lastModifiedBy>Welton·Yao</cp:lastModifiedBy>
  <dcterms:modified xsi:type="dcterms:W3CDTF">2024-10-29T14:21:30Z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2024-09-13T01:49:51Z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2ec12023-10a1-4c4c-8640-397c2ce86253</vt:lpwstr>
  </property>
  <property fmtid="{D5CDD505-2E9C-101B-9397-08002B2CF9AE}" pid="7" name="MSIP_Label_defa4170-0d19-0005-0004-bc88714345d2_ActionId">
    <vt:lpwstr>a1b51181-b687-413f-ba8f-c66f6877c1ba</vt:lpwstr>
  </property>
  <property fmtid="{D5CDD505-2E9C-101B-9397-08002B2CF9AE}" pid="8" name="MSIP_Label_defa4170-0d19-0005-0004-bc88714345d2_ContentBits">
    <vt:lpwstr>0</vt:lpwstr>
  </property>
  <property fmtid="{D5CDD505-2E9C-101B-9397-08002B2CF9AE}" pid="9" name="KSOProductBuildVer">
    <vt:lpwstr>2052-6.8.2.8850</vt:lpwstr>
  </property>
  <property fmtid="{D5CDD505-2E9C-101B-9397-08002B2CF9AE}" pid="10" name="ICV">
    <vt:lpwstr>87C6B0C8D2EEB2ADD83811676A8DCE18_43</vt:lpwstr>
  </property>
</Properties>
</file>