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eastAsia="仿宋_GB2312"/>
          <w:b/>
          <w:sz w:val="44"/>
          <w:szCs w:val="44"/>
        </w:rPr>
      </w:pPr>
      <w:bookmarkStart w:id="0" w:name="_GoBack"/>
      <w:bookmarkEnd w:id="0"/>
      <w:r>
        <w:rPr>
          <w:rFonts w:hint="eastAsia" w:ascii="仿宋_GB2312" w:eastAsia="仿宋_GB2312"/>
          <w:b/>
          <w:sz w:val="44"/>
          <w:szCs w:val="44"/>
        </w:rPr>
        <w:t>南昌大学仪器设备维修合同</w:t>
      </w:r>
    </w:p>
    <w:p>
      <w:pPr>
        <w:spacing w:line="560" w:lineRule="exact"/>
        <w:jc w:val="center"/>
        <w:rPr>
          <w:rFonts w:ascii="仿宋_GB2312" w:hAnsi="宋体" w:eastAsia="仿宋_GB2312"/>
          <w:color w:val="000000"/>
          <w:sz w:val="28"/>
          <w:szCs w:val="28"/>
        </w:rPr>
      </w:pPr>
      <w:r>
        <w:rPr>
          <w:rFonts w:hint="eastAsia" w:ascii="宋体" w:hAnsi="宋体"/>
          <w:color w:val="000000"/>
          <w:sz w:val="24"/>
        </w:rPr>
        <w:t xml:space="preserve"> </w:t>
      </w:r>
    </w:p>
    <w:p>
      <w:pPr>
        <w:adjustRightInd w:val="0"/>
        <w:snapToGrid w:val="0"/>
        <w:spacing w:line="360" w:lineRule="auto"/>
        <w:ind w:firstLine="480" w:firstLineChars="200"/>
        <w:rPr>
          <w:rFonts w:ascii="宋体" w:hAnsi="宋体"/>
          <w:sz w:val="24"/>
        </w:rPr>
      </w:pPr>
      <w:r>
        <w:rPr>
          <w:rFonts w:hint="eastAsia" w:ascii="宋体" w:hAnsi="宋体"/>
          <w:sz w:val="24"/>
        </w:rPr>
        <w:t xml:space="preserve">甲方：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pPr>
        <w:adjustRightInd w:val="0"/>
        <w:snapToGrid w:val="0"/>
        <w:spacing w:line="360" w:lineRule="auto"/>
        <w:ind w:firstLine="480" w:firstLineChars="200"/>
        <w:rPr>
          <w:rFonts w:ascii="宋体" w:hAnsi="宋体"/>
          <w:sz w:val="24"/>
        </w:rPr>
      </w:pPr>
      <w:r>
        <w:rPr>
          <w:rFonts w:hint="eastAsia" w:ascii="宋体" w:hAnsi="宋体"/>
          <w:sz w:val="24"/>
        </w:rPr>
        <w:t>乙方：</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adjustRightInd w:val="0"/>
        <w:snapToGrid w:val="0"/>
        <w:spacing w:line="360" w:lineRule="auto"/>
        <w:ind w:firstLine="480" w:firstLineChars="200"/>
        <w:rPr>
          <w:rFonts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   组织机构代码：</w:t>
      </w:r>
      <w:r>
        <w:rPr>
          <w:rFonts w:hint="eastAsia" w:ascii="宋体" w:hAnsi="宋体"/>
          <w:sz w:val="24"/>
          <w:u w:val="single"/>
        </w:rPr>
        <w:t xml:space="preserve">                        </w:t>
      </w:r>
    </w:p>
    <w:p>
      <w:pPr>
        <w:adjustRightInd w:val="0"/>
        <w:snapToGrid w:val="0"/>
        <w:spacing w:line="360" w:lineRule="auto"/>
        <w:ind w:firstLine="480" w:firstLineChars="200"/>
        <w:rPr>
          <w:rFonts w:ascii="宋体" w:hAnsi="宋体"/>
          <w:sz w:val="24"/>
        </w:rPr>
      </w:pPr>
      <w:r>
        <w:rPr>
          <w:rFonts w:hint="eastAsia" w:ascii="宋体" w:hAnsi="宋体"/>
          <w:sz w:val="24"/>
        </w:rPr>
        <w:t xml:space="preserve">丙方（用户）： </w:t>
      </w:r>
      <w:r>
        <w:rPr>
          <w:rFonts w:hint="eastAsia" w:ascii="宋体" w:hAnsi="宋体"/>
          <w:sz w:val="24"/>
          <w:u w:val="single"/>
        </w:rPr>
        <w:t xml:space="preserve">                            </w:t>
      </w:r>
      <w:r>
        <w:rPr>
          <w:rFonts w:hint="eastAsia" w:ascii="宋体" w:hAnsi="宋体"/>
          <w:sz w:val="24"/>
        </w:rPr>
        <w:t xml:space="preserve">   负责人：</w:t>
      </w:r>
      <w:r>
        <w:rPr>
          <w:rFonts w:hint="eastAsia" w:ascii="宋体" w:hAnsi="宋体"/>
          <w:sz w:val="24"/>
          <w:u w:val="single"/>
        </w:rPr>
        <w:t xml:space="preserve">           </w:t>
      </w:r>
    </w:p>
    <w:p>
      <w:pPr>
        <w:adjustRightInd w:val="0"/>
        <w:snapToGrid w:val="0"/>
        <w:spacing w:line="360" w:lineRule="auto"/>
        <w:ind w:firstLine="480" w:firstLineChars="200"/>
        <w:rPr>
          <w:rFonts w:ascii="宋体" w:hAnsi="宋体"/>
          <w:sz w:val="24"/>
          <w:u w:val="single"/>
        </w:rPr>
      </w:pPr>
    </w:p>
    <w:p>
      <w:pPr>
        <w:adjustRightInd w:val="0"/>
        <w:snapToGrid w:val="0"/>
        <w:spacing w:line="360" w:lineRule="auto"/>
        <w:ind w:firstLine="480" w:firstLineChars="200"/>
        <w:rPr>
          <w:rFonts w:ascii="宋体" w:hAnsi="宋体"/>
          <w:sz w:val="24"/>
        </w:rPr>
      </w:pPr>
      <w:r>
        <w:rPr>
          <w:rFonts w:hint="eastAsia" w:ascii="宋体" w:hAnsi="宋体"/>
          <w:sz w:val="24"/>
        </w:rPr>
        <w:t>甲乙丙方根据《中华人民共和国民法典》及其他相关法律法规的规定，遵循平等、自愿、公平和诚实信用的原则，签订本合同，供多方共同恪守。</w:t>
      </w:r>
    </w:p>
    <w:p>
      <w:pPr>
        <w:adjustRightInd w:val="0"/>
        <w:snapToGrid w:val="0"/>
        <w:spacing w:line="360" w:lineRule="auto"/>
        <w:ind w:firstLine="482" w:firstLineChars="200"/>
        <w:rPr>
          <w:rFonts w:ascii="宋体" w:hAnsi="宋体"/>
          <w:b/>
          <w:sz w:val="24"/>
        </w:rPr>
      </w:pPr>
      <w:r>
        <w:rPr>
          <w:rFonts w:hint="eastAsia" w:ascii="宋体" w:hAnsi="宋体"/>
          <w:b/>
          <w:sz w:val="24"/>
        </w:rPr>
        <w:t>一、维修内容</w:t>
      </w:r>
    </w:p>
    <w:p>
      <w:pPr>
        <w:adjustRightInd w:val="0"/>
        <w:snapToGrid w:val="0"/>
        <w:spacing w:line="360" w:lineRule="auto"/>
        <w:ind w:firstLine="480" w:firstLineChars="200"/>
        <w:rPr>
          <w:rFonts w:ascii="宋体" w:hAnsi="宋体"/>
          <w:sz w:val="24"/>
        </w:rPr>
      </w:pPr>
      <w:r>
        <w:rPr>
          <w:rFonts w:hint="eastAsia" w:ascii="宋体" w:hAnsi="宋体"/>
          <w:sz w:val="24"/>
        </w:rPr>
        <w:t>经甲乙丙方友好协调，由乙方承接甲（丙）方</w:t>
      </w:r>
      <w:r>
        <w:rPr>
          <w:rFonts w:hint="eastAsia" w:ascii="宋体" w:hAnsi="宋体"/>
          <w:sz w:val="24"/>
          <w:u w:val="single"/>
        </w:rPr>
        <w:t xml:space="preserve">          </w:t>
      </w:r>
      <w:r>
        <w:rPr>
          <w:rFonts w:hint="eastAsia" w:ascii="宋体" w:hAnsi="宋体"/>
          <w:sz w:val="24"/>
        </w:rPr>
        <w:t>仪器设备维修工作。</w:t>
      </w:r>
    </w:p>
    <w:p>
      <w:pPr>
        <w:adjustRightInd w:val="0"/>
        <w:snapToGrid w:val="0"/>
        <w:spacing w:line="360" w:lineRule="auto"/>
        <w:ind w:firstLine="482" w:firstLineChars="200"/>
        <w:rPr>
          <w:rFonts w:ascii="宋体" w:hAnsi="宋体"/>
          <w:b/>
          <w:sz w:val="24"/>
        </w:rPr>
      </w:pPr>
      <w:r>
        <w:rPr>
          <w:rFonts w:hint="eastAsia" w:ascii="宋体" w:hAnsi="宋体"/>
          <w:b/>
          <w:sz w:val="24"/>
        </w:rPr>
        <w:t>二、合同价款</w:t>
      </w:r>
    </w:p>
    <w:p>
      <w:pPr>
        <w:adjustRightInd w:val="0"/>
        <w:snapToGrid w:val="0"/>
        <w:spacing w:line="360" w:lineRule="auto"/>
        <w:ind w:firstLine="480" w:firstLineChars="200"/>
        <w:rPr>
          <w:rFonts w:ascii="宋体" w:hAnsi="宋体"/>
          <w:sz w:val="24"/>
        </w:rPr>
      </w:pPr>
      <w:r>
        <w:rPr>
          <w:rFonts w:hint="eastAsia" w:ascii="宋体" w:hAnsi="宋体"/>
          <w:sz w:val="24"/>
        </w:rPr>
        <w:t>本合同总价款为人民币（大写）</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 xml:space="preserve"> ）。合同总价包括但不限于维修费、配件费、差旅费、服务费、税费、安装调试费及与货物有关的供方应纳的各种税费等相关全部费用。维修清单见附件所示。</w:t>
      </w:r>
    </w:p>
    <w:p>
      <w:pPr>
        <w:adjustRightInd w:val="0"/>
        <w:snapToGrid w:val="0"/>
        <w:spacing w:line="360" w:lineRule="auto"/>
        <w:ind w:firstLine="482" w:firstLineChars="200"/>
        <w:rPr>
          <w:rFonts w:ascii="宋体" w:hAnsi="宋体"/>
          <w:b/>
          <w:sz w:val="24"/>
        </w:rPr>
      </w:pPr>
      <w:r>
        <w:rPr>
          <w:rFonts w:hint="eastAsia" w:ascii="宋体" w:hAnsi="宋体"/>
          <w:b/>
          <w:sz w:val="24"/>
        </w:rPr>
        <w:t>三、维修及产品质量要求</w:t>
      </w:r>
    </w:p>
    <w:p>
      <w:pPr>
        <w:adjustRightInd w:val="0"/>
        <w:snapToGrid w:val="0"/>
        <w:spacing w:line="360" w:lineRule="auto"/>
        <w:ind w:firstLine="480" w:firstLineChars="200"/>
        <w:rPr>
          <w:rFonts w:ascii="宋体" w:hAnsi="宋体"/>
          <w:sz w:val="24"/>
        </w:rPr>
      </w:pPr>
      <w:r>
        <w:rPr>
          <w:rFonts w:hint="eastAsia" w:ascii="宋体" w:hAnsi="宋体"/>
          <w:sz w:val="24"/>
        </w:rPr>
        <w:t>1、乙方保证其提供的产品（配件）同时符合国家标准、行业标准并可符合本协议项下产品说明书中所规定的功能和性能等质量标准，若多方就配件质量等问题产生争议时，多方均接受</w:t>
      </w:r>
      <w:r>
        <w:rPr>
          <w:rFonts w:hint="eastAsia" w:ascii="宋体" w:hAnsi="宋体"/>
          <w:sz w:val="24"/>
          <w:lang w:val="en-US" w:eastAsia="zh-CN"/>
        </w:rPr>
        <w:t>甲</w:t>
      </w:r>
      <w:r>
        <w:rPr>
          <w:rFonts w:hint="eastAsia" w:ascii="宋体" w:hAnsi="宋体"/>
          <w:sz w:val="24"/>
        </w:rPr>
        <w:t>方委托的第三方鉴定机构出具的鉴定意见。</w:t>
      </w:r>
    </w:p>
    <w:p>
      <w:pPr>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、乙方应在本协议签订</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内完成仪器设备维修工作并通过甲（丙）方验收合格，以通过验收时间为维修工作完成时间。仪器设备维修、维护完成并经试运行后，运行质量稳定可靠，其功能、性能、精度等应符合该仪器设备原有的技术参数指标。</w:t>
      </w:r>
    </w:p>
    <w:p>
      <w:pPr>
        <w:adjustRightInd w:val="0"/>
        <w:snapToGrid w:val="0"/>
        <w:spacing w:line="360" w:lineRule="auto"/>
        <w:ind w:firstLine="482" w:firstLineChars="200"/>
        <w:rPr>
          <w:rFonts w:ascii="宋体" w:hAnsi="宋体"/>
          <w:b/>
          <w:sz w:val="24"/>
        </w:rPr>
      </w:pPr>
      <w:r>
        <w:rPr>
          <w:rFonts w:hint="eastAsia" w:ascii="宋体" w:hAnsi="宋体"/>
          <w:b/>
          <w:sz w:val="24"/>
        </w:rPr>
        <w:t>四、验收标准</w:t>
      </w:r>
    </w:p>
    <w:p>
      <w:pPr>
        <w:adjustRightInd w:val="0"/>
        <w:snapToGrid w:val="0"/>
        <w:spacing w:line="360" w:lineRule="auto"/>
        <w:ind w:firstLine="480" w:firstLineChars="200"/>
        <w:rPr>
          <w:rFonts w:ascii="宋体" w:hAnsi="宋体"/>
          <w:sz w:val="24"/>
        </w:rPr>
      </w:pPr>
      <w:r>
        <w:rPr>
          <w:rFonts w:hint="eastAsia" w:ascii="宋体" w:hAnsi="宋体"/>
          <w:sz w:val="24"/>
        </w:rPr>
        <w:t>1、交付产品的质量应符合相关货物原产品制造厂商匹配的技术手册、产品说明书中载明的技术标准。</w:t>
      </w:r>
    </w:p>
    <w:p>
      <w:pPr>
        <w:adjustRightInd w:val="0"/>
        <w:snapToGrid w:val="0"/>
        <w:spacing w:line="360" w:lineRule="auto"/>
        <w:ind w:firstLine="480" w:firstLineChars="200"/>
        <w:rPr>
          <w:rFonts w:ascii="宋体" w:hAnsi="宋体"/>
          <w:sz w:val="24"/>
        </w:rPr>
      </w:pPr>
      <w:r>
        <w:rPr>
          <w:rFonts w:hint="eastAsia" w:ascii="宋体" w:hAnsi="宋体"/>
          <w:sz w:val="24"/>
        </w:rPr>
        <w:t>2、乙方保证提供给甲（丙）方的产品符合前述约定质量要求且保证是原生产厂商制造的，是全新、未使用过的并完全符合甲（丙）方提出的需求。</w:t>
      </w:r>
    </w:p>
    <w:p>
      <w:pPr>
        <w:adjustRightInd w:val="0"/>
        <w:snapToGrid w:val="0"/>
        <w:spacing w:line="360" w:lineRule="auto"/>
        <w:ind w:firstLine="480" w:firstLineChars="200"/>
        <w:rPr>
          <w:rFonts w:ascii="宋体" w:hAnsi="宋体"/>
          <w:sz w:val="24"/>
        </w:rPr>
      </w:pPr>
      <w:r>
        <w:rPr>
          <w:rFonts w:hint="eastAsia" w:ascii="宋体" w:hAnsi="宋体"/>
          <w:sz w:val="24"/>
        </w:rPr>
        <w:t>3、产品及维修的验收需经甲乙丙三方共同签署书面验收材料，未经验收时对协议项下仪器设备的使用不应视为有关产品已通过甲（丙）方验收。验收后若发现质量出现问题或无法达到甲（丙）方的维修要求，质保期内乙方应无条件根据甲、丙方要求对相关产品在</w:t>
      </w:r>
      <w:r>
        <w:rPr>
          <w:rFonts w:hint="eastAsia" w:ascii="宋体" w:hAnsi="宋体"/>
          <w:sz w:val="24"/>
          <w:u w:val="single"/>
        </w:rPr>
        <w:t xml:space="preserve">    </w:t>
      </w:r>
      <w:r>
        <w:rPr>
          <w:rFonts w:hint="eastAsia" w:ascii="宋体" w:hAnsi="宋体"/>
          <w:sz w:val="24"/>
        </w:rPr>
        <w:t>日内无偿完成更换或维修并需再次通过甲（丙）方验收，同时已通过甲（丙）方验收时间为最终更换或维修时间。</w:t>
      </w:r>
    </w:p>
    <w:p>
      <w:pPr>
        <w:adjustRightInd w:val="0"/>
        <w:snapToGrid w:val="0"/>
        <w:spacing w:line="360" w:lineRule="auto"/>
        <w:ind w:firstLine="482" w:firstLineChars="200"/>
        <w:rPr>
          <w:rFonts w:ascii="宋体" w:hAnsi="宋体"/>
          <w:b/>
          <w:sz w:val="24"/>
        </w:rPr>
      </w:pPr>
      <w:r>
        <w:rPr>
          <w:rFonts w:hint="eastAsia" w:ascii="宋体" w:hAnsi="宋体"/>
          <w:b/>
          <w:sz w:val="24"/>
        </w:rPr>
        <w:t>五、售后服务</w:t>
      </w:r>
    </w:p>
    <w:p>
      <w:pPr>
        <w:adjustRightInd w:val="0"/>
        <w:snapToGrid w:val="0"/>
        <w:spacing w:line="360" w:lineRule="auto"/>
        <w:ind w:firstLine="480" w:firstLineChars="200"/>
        <w:rPr>
          <w:rFonts w:ascii="宋体" w:hAnsi="宋体"/>
          <w:sz w:val="24"/>
        </w:rPr>
      </w:pPr>
      <w:r>
        <w:rPr>
          <w:rFonts w:hint="eastAsia" w:ascii="宋体" w:hAnsi="宋体"/>
          <w:sz w:val="24"/>
        </w:rPr>
        <w:t>乙方对所供产品（配件）质量不合格的，乙方保证免费及时更换。乙方保证所维修的项目内容及产品保修保质期为</w:t>
      </w:r>
      <w:r>
        <w:rPr>
          <w:rFonts w:hint="eastAsia" w:ascii="宋体" w:hAnsi="宋体"/>
          <w:sz w:val="24"/>
          <w:u w:val="single"/>
        </w:rPr>
        <w:t xml:space="preserve">           </w:t>
      </w:r>
      <w:r>
        <w:rPr>
          <w:rFonts w:hint="eastAsia" w:ascii="宋体" w:hAnsi="宋体"/>
          <w:sz w:val="24"/>
        </w:rPr>
        <w:t>，自多方验收合格后起算。</w:t>
      </w:r>
    </w:p>
    <w:p>
      <w:pPr>
        <w:adjustRightInd w:val="0"/>
        <w:snapToGrid w:val="0"/>
        <w:spacing w:line="360" w:lineRule="auto"/>
        <w:ind w:firstLine="482" w:firstLineChars="200"/>
        <w:rPr>
          <w:rFonts w:ascii="宋体" w:hAnsi="宋体"/>
          <w:b/>
          <w:sz w:val="24"/>
        </w:rPr>
      </w:pPr>
      <w:r>
        <w:rPr>
          <w:rFonts w:hint="eastAsia" w:ascii="宋体" w:hAnsi="宋体"/>
          <w:b/>
          <w:sz w:val="24"/>
        </w:rPr>
        <w:t>六、付款方式</w:t>
      </w:r>
    </w:p>
    <w:p>
      <w:pPr>
        <w:adjustRightInd w:val="0"/>
        <w:snapToGrid w:val="0"/>
        <w:spacing w:line="360" w:lineRule="auto"/>
        <w:ind w:firstLine="480" w:firstLineChars="200"/>
        <w:rPr>
          <w:rFonts w:ascii="宋体" w:hAnsi="宋体"/>
          <w:sz w:val="24"/>
        </w:rPr>
      </w:pPr>
      <w:r>
        <w:rPr>
          <w:rFonts w:hint="eastAsia" w:ascii="宋体" w:hAnsi="宋体"/>
          <w:sz w:val="24"/>
        </w:rPr>
        <w:t>甲（丙）方自本仪器设备维修验收合格之日起</w:t>
      </w:r>
      <w:r>
        <w:rPr>
          <w:rFonts w:hint="eastAsia" w:ascii="宋体" w:hAnsi="宋体"/>
          <w:sz w:val="24"/>
          <w:u w:val="single"/>
        </w:rPr>
        <w:t xml:space="preserve">   </w:t>
      </w:r>
      <w:r>
        <w:rPr>
          <w:rFonts w:hint="eastAsia" w:ascii="宋体" w:hAnsi="宋体"/>
          <w:sz w:val="24"/>
        </w:rPr>
        <w:t>个工作日内，将全部费用一次性支付给乙方。</w:t>
      </w:r>
    </w:p>
    <w:p>
      <w:pPr>
        <w:adjustRightInd w:val="0"/>
        <w:snapToGrid w:val="0"/>
        <w:spacing w:line="360" w:lineRule="auto"/>
        <w:ind w:firstLine="480" w:firstLineChars="200"/>
        <w:rPr>
          <w:rFonts w:ascii="宋体" w:hAnsi="宋体"/>
          <w:sz w:val="24"/>
        </w:rPr>
      </w:pPr>
      <w:r>
        <w:rPr>
          <w:rFonts w:hint="eastAsia" w:ascii="宋体" w:hAnsi="宋体"/>
          <w:sz w:val="24"/>
        </w:rPr>
        <w:t>付款前乙方应开具全额正规发票，否则甲（丙）方有权拒绝付款并无需承担违约责任。</w:t>
      </w:r>
    </w:p>
    <w:p>
      <w:pPr>
        <w:adjustRightInd w:val="0"/>
        <w:snapToGrid w:val="0"/>
        <w:spacing w:line="360" w:lineRule="auto"/>
        <w:ind w:firstLine="482" w:firstLineChars="200"/>
        <w:rPr>
          <w:rFonts w:ascii="宋体" w:hAnsi="宋体"/>
          <w:b/>
          <w:sz w:val="24"/>
        </w:rPr>
      </w:pPr>
      <w:r>
        <w:rPr>
          <w:rFonts w:hint="eastAsia" w:ascii="宋体" w:hAnsi="宋体"/>
          <w:b/>
          <w:sz w:val="24"/>
        </w:rPr>
        <w:t>七、违约责任</w:t>
      </w:r>
    </w:p>
    <w:p>
      <w:pPr>
        <w:adjustRightInd w:val="0"/>
        <w:snapToGrid w:val="0"/>
        <w:spacing w:line="360" w:lineRule="auto"/>
        <w:ind w:firstLine="480" w:firstLineChars="200"/>
        <w:rPr>
          <w:rFonts w:ascii="宋体" w:hAnsi="宋体"/>
          <w:sz w:val="24"/>
        </w:rPr>
      </w:pPr>
      <w:r>
        <w:rPr>
          <w:rFonts w:hint="eastAsia" w:ascii="宋体" w:hAnsi="宋体"/>
          <w:sz w:val="24"/>
        </w:rPr>
        <w:t>1、合同生效后，双方不得任意终止合同；擅自终止合同的一方需支付给对方合同总价款的5%作为违约金。</w:t>
      </w:r>
    </w:p>
    <w:p>
      <w:pPr>
        <w:adjustRightInd w:val="0"/>
        <w:snapToGrid w:val="0"/>
        <w:spacing w:line="360" w:lineRule="auto"/>
        <w:ind w:firstLine="480" w:firstLineChars="200"/>
        <w:rPr>
          <w:rFonts w:ascii="宋体" w:hAnsi="宋体"/>
          <w:sz w:val="24"/>
        </w:rPr>
      </w:pPr>
      <w:r>
        <w:rPr>
          <w:rFonts w:hint="eastAsia" w:ascii="宋体" w:hAnsi="宋体"/>
          <w:sz w:val="24"/>
        </w:rPr>
        <w:t>2、甲（丙）方验收发现维修或配件产品不符合验收标准的，由乙方继续进行免费维修，乙方承诺于收到验收未通过结果的</w:t>
      </w:r>
      <w:r>
        <w:rPr>
          <w:rFonts w:hint="eastAsia" w:ascii="宋体" w:hAnsi="宋体"/>
          <w:sz w:val="24"/>
          <w:u w:val="single"/>
        </w:rPr>
        <w:t xml:space="preserve">    </w:t>
      </w:r>
      <w:r>
        <w:rPr>
          <w:rFonts w:hint="eastAsia" w:ascii="宋体" w:hAnsi="宋体"/>
          <w:sz w:val="24"/>
        </w:rPr>
        <w:t>日内维修至符合甲（丙）方验收标准，需再次申请并通过甲（丙）方验收。违反本协议约定维修日期的（包括但不限于维修完成期限、质保维修期限）每逾期一日，应按合同货款的万分之五（0.5‰</w:t>
      </w:r>
      <w:r>
        <w:rPr>
          <w:rFonts w:ascii="宋体" w:hAnsi="宋体"/>
          <w:sz w:val="24"/>
        </w:rPr>
        <w:t>）</w:t>
      </w:r>
      <w:r>
        <w:rPr>
          <w:rFonts w:hint="eastAsia" w:ascii="宋体" w:hAnsi="宋体"/>
          <w:sz w:val="24"/>
        </w:rPr>
        <w:t>向甲（丙）方支付违约金。 逾期达五日的，甲（丙）方除有权单方解除本协议且已支付的费用应全部退还外，乙方还需承担合同总价款的5%作为违约金。合同解除后甲（丙）方可自行委托第三方进行维修，由此产生的费用均由乙方承担。</w:t>
      </w:r>
    </w:p>
    <w:p>
      <w:pPr>
        <w:adjustRightInd w:val="0"/>
        <w:snapToGrid w:val="0"/>
        <w:spacing w:line="360" w:lineRule="auto"/>
        <w:ind w:firstLine="480" w:firstLineChars="200"/>
        <w:rPr>
          <w:rFonts w:ascii="宋体" w:hAnsi="宋体"/>
          <w:sz w:val="24"/>
        </w:rPr>
      </w:pPr>
      <w:r>
        <w:rPr>
          <w:rFonts w:hint="eastAsia" w:ascii="宋体" w:hAnsi="宋体"/>
          <w:sz w:val="24"/>
        </w:rPr>
        <w:t>3、甲（丙）方无故逾期支付货款，每逾期一日，应按合同货款的万分之五（0.5‰</w:t>
      </w:r>
      <w:r>
        <w:rPr>
          <w:rFonts w:ascii="宋体" w:hAnsi="宋体"/>
          <w:sz w:val="24"/>
        </w:rPr>
        <w:t>）</w:t>
      </w:r>
      <w:r>
        <w:rPr>
          <w:rFonts w:hint="eastAsia" w:ascii="宋体" w:hAnsi="宋体"/>
          <w:sz w:val="24"/>
        </w:rPr>
        <w:t>向乙方支付违约金。</w:t>
      </w:r>
    </w:p>
    <w:p>
      <w:pPr>
        <w:adjustRightInd w:val="0"/>
        <w:snapToGrid w:val="0"/>
        <w:spacing w:line="360" w:lineRule="auto"/>
        <w:ind w:firstLine="482" w:firstLineChars="200"/>
        <w:rPr>
          <w:rFonts w:ascii="宋体" w:hAnsi="宋体"/>
          <w:b/>
          <w:sz w:val="24"/>
        </w:rPr>
      </w:pPr>
      <w:r>
        <w:rPr>
          <w:rFonts w:hint="eastAsia" w:ascii="宋体" w:hAnsi="宋体"/>
          <w:b/>
          <w:sz w:val="24"/>
        </w:rPr>
        <w:t>八、其他约定</w:t>
      </w:r>
    </w:p>
    <w:p>
      <w:pPr>
        <w:adjustRightInd w:val="0"/>
        <w:snapToGrid w:val="0"/>
        <w:spacing w:line="360" w:lineRule="auto"/>
        <w:ind w:firstLine="480" w:firstLineChars="200"/>
        <w:rPr>
          <w:rFonts w:ascii="宋体" w:hAnsi="宋体"/>
          <w:sz w:val="24"/>
        </w:rPr>
      </w:pPr>
      <w:r>
        <w:rPr>
          <w:rFonts w:hint="eastAsia" w:ascii="宋体" w:hAnsi="宋体"/>
          <w:sz w:val="24"/>
        </w:rPr>
        <w:t>1、合同执行过程中，甲乙丙方如发生纠纷，应本着友好原则协商解决。如无法协商解决，甲乙丙方应当向甲方住所地法院起诉解决，守约方为维护自身权益支出的费用部分（包含但不限于律师代理费等）由违约方承担。</w:t>
      </w:r>
    </w:p>
    <w:p>
      <w:pPr>
        <w:adjustRightInd w:val="0"/>
        <w:snapToGrid w:val="0"/>
        <w:spacing w:line="360" w:lineRule="auto"/>
        <w:ind w:firstLine="480" w:firstLineChars="200"/>
        <w:rPr>
          <w:rFonts w:ascii="宋体" w:hAnsi="宋体"/>
          <w:sz w:val="24"/>
        </w:rPr>
      </w:pPr>
      <w:r>
        <w:rPr>
          <w:rFonts w:hint="eastAsia" w:ascii="宋体" w:hAnsi="宋体"/>
          <w:sz w:val="24"/>
        </w:rPr>
        <w:t>2、合同未尽事宜，由甲乙丙方协商后以书面形式记录并作为本合同的附件。合同附件为合同的有效组成部分，与合同具有同等效力。</w:t>
      </w:r>
    </w:p>
    <w:p>
      <w:pPr>
        <w:adjustRightInd w:val="0"/>
        <w:snapToGrid w:val="0"/>
        <w:spacing w:line="360" w:lineRule="auto"/>
        <w:ind w:firstLine="480" w:firstLineChars="200"/>
        <w:rPr>
          <w:rFonts w:ascii="宋体" w:hAnsi="宋体"/>
          <w:sz w:val="24"/>
        </w:rPr>
      </w:pPr>
      <w:r>
        <w:rPr>
          <w:rFonts w:hint="eastAsia" w:ascii="宋体" w:hAnsi="宋体"/>
          <w:sz w:val="24"/>
        </w:rPr>
        <w:t>3、本协议履行维修过程中，对出现可能工伤、导致人身损害及财产损失的相关情况时，相关责任均由乙方自行承担。本协议仪器设备在未通过验收前相关货物的风险均由乙方承担。</w:t>
      </w:r>
    </w:p>
    <w:p>
      <w:pPr>
        <w:adjustRightInd w:val="0"/>
        <w:snapToGrid w:val="0"/>
        <w:spacing w:line="360" w:lineRule="auto"/>
        <w:ind w:firstLine="480" w:firstLineChars="200"/>
        <w:rPr>
          <w:rFonts w:ascii="宋体" w:hAnsi="宋体"/>
          <w:sz w:val="24"/>
        </w:rPr>
      </w:pPr>
      <w:r>
        <w:rPr>
          <w:rFonts w:hint="eastAsia" w:ascii="宋体" w:hAnsi="宋体"/>
          <w:sz w:val="24"/>
        </w:rPr>
        <w:t>4.本合同一式肆份，甲方执壹份，乙方执壹份，丙方执贰份，具有同等法律效力，本合同自甲乙丙方签字盖章之日起生效。</w:t>
      </w:r>
    </w:p>
    <w:p>
      <w:pPr>
        <w:adjustRightInd w:val="0"/>
        <w:snapToGrid w:val="0"/>
        <w:spacing w:line="360" w:lineRule="auto"/>
        <w:ind w:firstLine="200"/>
        <w:rPr>
          <w:rFonts w:ascii="宋体" w:hAnsi="宋体"/>
          <w:sz w:val="24"/>
        </w:rPr>
      </w:pPr>
    </w:p>
    <w:p>
      <w:pPr>
        <w:adjustRightInd w:val="0"/>
        <w:snapToGrid w:val="0"/>
        <w:spacing w:line="360" w:lineRule="auto"/>
        <w:ind w:firstLine="200"/>
        <w:rPr>
          <w:rFonts w:ascii="宋体" w:hAnsi="宋体"/>
          <w:sz w:val="24"/>
        </w:rPr>
      </w:pPr>
    </w:p>
    <w:p>
      <w:pPr>
        <w:adjustRightInd w:val="0"/>
        <w:snapToGrid w:val="0"/>
        <w:spacing w:line="360" w:lineRule="auto"/>
        <w:ind w:firstLine="240" w:firstLineChars="100"/>
        <w:rPr>
          <w:rFonts w:ascii="宋体" w:hAnsi="宋体"/>
          <w:sz w:val="24"/>
        </w:rPr>
      </w:pPr>
      <w:r>
        <w:rPr>
          <w:rFonts w:hint="eastAsia" w:ascii="宋体" w:hAnsi="宋体"/>
          <w:sz w:val="24"/>
        </w:rPr>
        <w:t>甲   方(盖章)：                       乙   方(盖章)：</w:t>
      </w:r>
    </w:p>
    <w:p>
      <w:pPr>
        <w:adjustRightInd w:val="0"/>
        <w:snapToGrid w:val="0"/>
        <w:spacing w:line="360" w:lineRule="auto"/>
        <w:ind w:firstLine="240" w:firstLineChars="100"/>
        <w:rPr>
          <w:rFonts w:ascii="宋体" w:hAnsi="宋体"/>
          <w:sz w:val="24"/>
        </w:rPr>
      </w:pPr>
      <w:r>
        <w:rPr>
          <w:rFonts w:hint="eastAsia" w:ascii="宋体" w:hAnsi="宋体"/>
          <w:sz w:val="24"/>
        </w:rPr>
        <w:t xml:space="preserve">负责（经办）人：                      法定代表人(委托代理人）： </w:t>
      </w:r>
    </w:p>
    <w:p>
      <w:pPr>
        <w:adjustRightInd w:val="0"/>
        <w:snapToGrid w:val="0"/>
        <w:spacing w:line="360" w:lineRule="auto"/>
        <w:ind w:firstLine="240" w:firstLineChars="100"/>
        <w:rPr>
          <w:rFonts w:ascii="宋体" w:hAnsi="宋体"/>
          <w:sz w:val="24"/>
        </w:rPr>
      </w:pPr>
      <w:r>
        <w:rPr>
          <w:rFonts w:hint="eastAsia" w:ascii="宋体" w:hAnsi="宋体"/>
          <w:sz w:val="24"/>
        </w:rPr>
        <w:t xml:space="preserve">联系方式：                            联系方式：                  </w:t>
      </w:r>
    </w:p>
    <w:p>
      <w:pPr>
        <w:adjustRightInd w:val="0"/>
        <w:snapToGrid w:val="0"/>
        <w:spacing w:line="360" w:lineRule="auto"/>
        <w:ind w:firstLine="240" w:firstLineChars="100"/>
        <w:rPr>
          <w:rFonts w:ascii="宋体" w:hAnsi="宋体"/>
          <w:sz w:val="24"/>
        </w:rPr>
      </w:pPr>
      <w:r>
        <w:rPr>
          <w:rFonts w:hint="eastAsia" w:ascii="宋体" w:hAnsi="宋体"/>
          <w:sz w:val="24"/>
        </w:rPr>
        <w:t xml:space="preserve">日期： </w:t>
      </w:r>
      <w:r>
        <w:rPr>
          <w:rFonts w:ascii="宋体" w:hAnsi="宋体"/>
          <w:sz w:val="24"/>
        </w:rPr>
        <w:t xml:space="preserve">                               </w:t>
      </w:r>
      <w:r>
        <w:rPr>
          <w:rFonts w:hint="eastAsia" w:ascii="宋体" w:hAnsi="宋体"/>
          <w:sz w:val="24"/>
        </w:rPr>
        <w:t xml:space="preserve">日期：        </w:t>
      </w:r>
    </w:p>
    <w:p>
      <w:pPr>
        <w:adjustRightInd w:val="0"/>
        <w:snapToGrid w:val="0"/>
        <w:spacing w:line="360" w:lineRule="auto"/>
        <w:ind w:firstLine="240" w:firstLineChars="100"/>
        <w:rPr>
          <w:rFonts w:ascii="宋体" w:hAnsi="宋体"/>
          <w:sz w:val="24"/>
        </w:rPr>
      </w:pPr>
    </w:p>
    <w:p>
      <w:pPr>
        <w:adjustRightInd w:val="0"/>
        <w:snapToGrid w:val="0"/>
        <w:spacing w:line="360" w:lineRule="auto"/>
        <w:ind w:firstLine="240" w:firstLineChars="100"/>
        <w:rPr>
          <w:rFonts w:ascii="宋体" w:hAnsi="宋体"/>
          <w:sz w:val="24"/>
        </w:rPr>
      </w:pPr>
    </w:p>
    <w:p>
      <w:pPr>
        <w:adjustRightInd w:val="0"/>
        <w:snapToGrid w:val="0"/>
        <w:spacing w:line="360" w:lineRule="auto"/>
        <w:ind w:firstLine="240" w:firstLineChars="100"/>
        <w:rPr>
          <w:rFonts w:ascii="宋体" w:hAnsi="宋体"/>
          <w:sz w:val="24"/>
        </w:rPr>
      </w:pPr>
      <w:r>
        <w:rPr>
          <w:rFonts w:hint="eastAsia" w:ascii="宋体" w:hAnsi="宋体"/>
          <w:sz w:val="24"/>
        </w:rPr>
        <w:t xml:space="preserve">丙   方(盖章)：                       </w:t>
      </w:r>
    </w:p>
    <w:p>
      <w:pPr>
        <w:adjustRightInd w:val="0"/>
        <w:snapToGrid w:val="0"/>
        <w:spacing w:line="360" w:lineRule="auto"/>
        <w:ind w:firstLine="240" w:firstLineChars="100"/>
        <w:rPr>
          <w:rFonts w:ascii="宋体" w:hAnsi="宋体"/>
          <w:sz w:val="24"/>
        </w:rPr>
      </w:pPr>
      <w:r>
        <w:rPr>
          <w:rFonts w:hint="eastAsia" w:ascii="宋体" w:hAnsi="宋体"/>
          <w:sz w:val="24"/>
        </w:rPr>
        <w:t xml:space="preserve">负责（经办）人：              </w:t>
      </w:r>
    </w:p>
    <w:p>
      <w:pPr>
        <w:adjustRightInd w:val="0"/>
        <w:snapToGrid w:val="0"/>
        <w:spacing w:line="360" w:lineRule="auto"/>
        <w:ind w:firstLine="240" w:firstLineChars="100"/>
        <w:rPr>
          <w:rFonts w:ascii="宋体" w:hAnsi="宋体"/>
          <w:sz w:val="24"/>
        </w:rPr>
      </w:pPr>
      <w:r>
        <w:rPr>
          <w:rFonts w:hint="eastAsia" w:ascii="宋体" w:hAnsi="宋体"/>
          <w:sz w:val="24"/>
        </w:rPr>
        <w:t xml:space="preserve">联系方式：                                             </w:t>
      </w:r>
    </w:p>
    <w:p>
      <w:pPr>
        <w:adjustRightInd w:val="0"/>
        <w:snapToGrid w:val="0"/>
        <w:spacing w:line="360" w:lineRule="auto"/>
        <w:ind w:firstLine="240" w:firstLineChars="100"/>
        <w:rPr>
          <w:rFonts w:ascii="宋体" w:hAnsi="宋体"/>
          <w:sz w:val="24"/>
        </w:rPr>
      </w:pPr>
      <w:r>
        <w:rPr>
          <w:rFonts w:hint="eastAsia" w:ascii="宋体" w:hAnsi="宋体"/>
          <w:sz w:val="24"/>
        </w:rPr>
        <w:t xml:space="preserve">日期： </w:t>
      </w:r>
      <w:r>
        <w:rPr>
          <w:rFonts w:ascii="宋体" w:hAnsi="宋体"/>
          <w:sz w:val="24"/>
        </w:rPr>
        <w:t xml:space="preserve">                               </w:t>
      </w:r>
      <w:r>
        <w:rPr>
          <w:rFonts w:hint="eastAsia" w:ascii="宋体" w:hAnsi="宋体"/>
          <w:sz w:val="24"/>
        </w:rPr>
        <w:t xml:space="preserve">        </w:t>
      </w:r>
    </w:p>
    <w:p>
      <w:pPr>
        <w:adjustRightInd w:val="0"/>
        <w:snapToGrid w:val="0"/>
        <w:spacing w:line="360" w:lineRule="auto"/>
        <w:ind w:firstLine="240" w:firstLineChars="100"/>
        <w:rPr>
          <w:rFonts w:ascii="宋体" w:hAnsi="宋体"/>
          <w:sz w:val="24"/>
        </w:rPr>
      </w:pPr>
    </w:p>
    <w:p>
      <w:pPr>
        <w:adjustRightInd w:val="0"/>
        <w:snapToGrid w:val="0"/>
        <w:spacing w:line="360" w:lineRule="auto"/>
        <w:rPr>
          <w:rFonts w:ascii="宋体" w:hAnsi="宋体"/>
          <w:sz w:val="24"/>
        </w:rPr>
        <w:sectPr>
          <w:pgSz w:w="11906" w:h="16838"/>
          <w:pgMar w:top="1440" w:right="1800" w:bottom="1440" w:left="1800" w:header="851" w:footer="992" w:gutter="0"/>
          <w:cols w:space="425" w:num="1"/>
          <w:docGrid w:type="lines" w:linePitch="312" w:charSpace="0"/>
        </w:sectPr>
      </w:pPr>
    </w:p>
    <w:p>
      <w:pPr>
        <w:adjustRightInd w:val="0"/>
        <w:snapToGrid w:val="0"/>
        <w:spacing w:line="360" w:lineRule="auto"/>
        <w:rPr>
          <w:rFonts w:ascii="宋体" w:hAnsi="宋体"/>
          <w:sz w:val="24"/>
        </w:rPr>
      </w:pPr>
    </w:p>
    <w:p>
      <w:pPr>
        <w:adjustRightInd w:val="0"/>
        <w:snapToGrid w:val="0"/>
        <w:spacing w:line="360" w:lineRule="auto"/>
        <w:rPr>
          <w:rFonts w:ascii="仿宋_GB2312" w:eastAsia="仿宋_GB2312"/>
          <w:b/>
          <w:sz w:val="32"/>
          <w:szCs w:val="32"/>
        </w:rPr>
      </w:pPr>
      <w:r>
        <w:rPr>
          <w:rFonts w:hint="eastAsia" w:ascii="仿宋_GB2312" w:eastAsia="仿宋_GB2312"/>
          <w:b/>
          <w:sz w:val="32"/>
          <w:szCs w:val="32"/>
        </w:rPr>
        <w:t>附件：维修清单列表</w:t>
      </w:r>
    </w:p>
    <w:tbl>
      <w:tblPr>
        <w:tblStyle w:val="5"/>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2529"/>
        <w:gridCol w:w="1844"/>
        <w:gridCol w:w="1135"/>
        <w:gridCol w:w="127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586" w:type="dxa"/>
            <w:vAlign w:val="center"/>
          </w:tcPr>
          <w:p>
            <w:pPr>
              <w:adjustRightInd w:val="0"/>
              <w:snapToGrid w:val="0"/>
              <w:jc w:val="center"/>
              <w:rPr>
                <w:rFonts w:ascii="宋体" w:hAnsi="宋体"/>
                <w:b/>
                <w:bCs/>
                <w:sz w:val="24"/>
              </w:rPr>
            </w:pPr>
            <w:r>
              <w:rPr>
                <w:rFonts w:hint="eastAsia" w:ascii="宋体" w:hAnsi="宋体"/>
                <w:b/>
                <w:bCs/>
                <w:sz w:val="24"/>
              </w:rPr>
              <w:t>序号</w:t>
            </w:r>
          </w:p>
        </w:tc>
        <w:tc>
          <w:tcPr>
            <w:tcW w:w="2529" w:type="dxa"/>
            <w:vAlign w:val="center"/>
          </w:tcPr>
          <w:p>
            <w:pPr>
              <w:adjustRightInd w:val="0"/>
              <w:snapToGrid w:val="0"/>
              <w:jc w:val="center"/>
              <w:rPr>
                <w:rFonts w:ascii="宋体" w:hAnsi="宋体"/>
                <w:b/>
                <w:bCs/>
                <w:sz w:val="24"/>
              </w:rPr>
            </w:pPr>
            <w:r>
              <w:rPr>
                <w:rFonts w:hint="eastAsia" w:ascii="宋体" w:hAnsi="宋体"/>
                <w:b/>
                <w:bCs/>
                <w:sz w:val="24"/>
              </w:rPr>
              <w:t>维修内容或材料名称</w:t>
            </w:r>
          </w:p>
        </w:tc>
        <w:tc>
          <w:tcPr>
            <w:tcW w:w="1844" w:type="dxa"/>
            <w:vAlign w:val="center"/>
          </w:tcPr>
          <w:p>
            <w:pPr>
              <w:adjustRightInd w:val="0"/>
              <w:snapToGrid w:val="0"/>
              <w:jc w:val="center"/>
              <w:rPr>
                <w:rFonts w:ascii="宋体" w:hAnsi="宋体"/>
                <w:b/>
                <w:bCs/>
                <w:sz w:val="24"/>
              </w:rPr>
            </w:pPr>
            <w:r>
              <w:rPr>
                <w:rFonts w:hint="eastAsia" w:ascii="宋体" w:hAnsi="宋体"/>
                <w:b/>
                <w:bCs/>
                <w:sz w:val="24"/>
              </w:rPr>
              <w:t>型号规格</w:t>
            </w:r>
          </w:p>
        </w:tc>
        <w:tc>
          <w:tcPr>
            <w:tcW w:w="1135" w:type="dxa"/>
            <w:vAlign w:val="center"/>
          </w:tcPr>
          <w:p>
            <w:pPr>
              <w:adjustRightInd w:val="0"/>
              <w:snapToGrid w:val="0"/>
              <w:jc w:val="center"/>
              <w:rPr>
                <w:rFonts w:ascii="宋体" w:hAnsi="宋体"/>
                <w:b/>
                <w:bCs/>
                <w:sz w:val="24"/>
              </w:rPr>
            </w:pPr>
            <w:r>
              <w:rPr>
                <w:rFonts w:hint="eastAsia" w:ascii="宋体" w:hAnsi="宋体"/>
                <w:b/>
                <w:bCs/>
                <w:sz w:val="24"/>
              </w:rPr>
              <w:t>数量及单位</w:t>
            </w:r>
          </w:p>
        </w:tc>
        <w:tc>
          <w:tcPr>
            <w:tcW w:w="1277" w:type="dxa"/>
            <w:vAlign w:val="center"/>
          </w:tcPr>
          <w:p>
            <w:pPr>
              <w:adjustRightInd w:val="0"/>
              <w:snapToGrid w:val="0"/>
              <w:jc w:val="center"/>
              <w:rPr>
                <w:rFonts w:ascii="宋体" w:hAnsi="宋体"/>
                <w:b/>
                <w:bCs/>
                <w:sz w:val="24"/>
              </w:rPr>
            </w:pPr>
            <w:r>
              <w:rPr>
                <w:rFonts w:hint="eastAsia" w:ascii="宋体" w:hAnsi="宋体"/>
                <w:b/>
                <w:bCs/>
                <w:sz w:val="24"/>
              </w:rPr>
              <w:t>单价（元）</w:t>
            </w:r>
          </w:p>
        </w:tc>
        <w:tc>
          <w:tcPr>
            <w:tcW w:w="1268" w:type="dxa"/>
            <w:vAlign w:val="center"/>
          </w:tcPr>
          <w:p>
            <w:pPr>
              <w:adjustRightInd w:val="0"/>
              <w:snapToGrid w:val="0"/>
              <w:jc w:val="center"/>
              <w:rPr>
                <w:rFonts w:ascii="宋体" w:hAnsi="宋体"/>
                <w:b/>
                <w:bCs/>
                <w:sz w:val="24"/>
              </w:rPr>
            </w:pPr>
            <w:r>
              <w:rPr>
                <w:rFonts w:hint="eastAsia" w:ascii="宋体" w:hAnsi="宋体"/>
                <w:b/>
                <w:bCs/>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586" w:type="dxa"/>
            <w:vAlign w:val="center"/>
          </w:tcPr>
          <w:p>
            <w:pPr>
              <w:adjustRightInd w:val="0"/>
              <w:snapToGrid w:val="0"/>
              <w:rPr>
                <w:rFonts w:ascii="宋体" w:hAnsi="宋体"/>
                <w:sz w:val="24"/>
              </w:rPr>
            </w:pPr>
          </w:p>
        </w:tc>
        <w:tc>
          <w:tcPr>
            <w:tcW w:w="2529" w:type="dxa"/>
            <w:vAlign w:val="center"/>
          </w:tcPr>
          <w:p>
            <w:pPr>
              <w:adjustRightInd w:val="0"/>
              <w:snapToGrid w:val="0"/>
              <w:rPr>
                <w:rFonts w:ascii="宋体" w:hAnsi="宋体"/>
                <w:sz w:val="24"/>
              </w:rPr>
            </w:pPr>
          </w:p>
        </w:tc>
        <w:tc>
          <w:tcPr>
            <w:tcW w:w="1844" w:type="dxa"/>
            <w:vAlign w:val="center"/>
          </w:tcPr>
          <w:p>
            <w:pPr>
              <w:adjustRightInd w:val="0"/>
              <w:snapToGrid w:val="0"/>
              <w:rPr>
                <w:rFonts w:ascii="宋体" w:hAnsi="宋体"/>
                <w:sz w:val="24"/>
              </w:rPr>
            </w:pPr>
          </w:p>
        </w:tc>
        <w:tc>
          <w:tcPr>
            <w:tcW w:w="1135" w:type="dxa"/>
            <w:vAlign w:val="center"/>
          </w:tcPr>
          <w:p>
            <w:pPr>
              <w:adjustRightInd w:val="0"/>
              <w:snapToGrid w:val="0"/>
              <w:rPr>
                <w:rFonts w:ascii="宋体" w:hAnsi="宋体"/>
                <w:sz w:val="24"/>
              </w:rPr>
            </w:pPr>
          </w:p>
        </w:tc>
        <w:tc>
          <w:tcPr>
            <w:tcW w:w="1277" w:type="dxa"/>
            <w:vAlign w:val="center"/>
          </w:tcPr>
          <w:p>
            <w:pPr>
              <w:adjustRightInd w:val="0"/>
              <w:snapToGrid w:val="0"/>
              <w:rPr>
                <w:rFonts w:ascii="宋体" w:hAnsi="宋体"/>
                <w:sz w:val="24"/>
              </w:rPr>
            </w:pPr>
          </w:p>
        </w:tc>
        <w:tc>
          <w:tcPr>
            <w:tcW w:w="1268" w:type="dxa"/>
            <w:vAlign w:val="center"/>
          </w:tcPr>
          <w:p>
            <w:pPr>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586" w:type="dxa"/>
            <w:vAlign w:val="center"/>
          </w:tcPr>
          <w:p>
            <w:pPr>
              <w:adjustRightInd w:val="0"/>
              <w:snapToGrid w:val="0"/>
              <w:rPr>
                <w:rFonts w:ascii="宋体" w:hAnsi="宋体"/>
                <w:sz w:val="24"/>
              </w:rPr>
            </w:pPr>
          </w:p>
        </w:tc>
        <w:tc>
          <w:tcPr>
            <w:tcW w:w="2529" w:type="dxa"/>
            <w:vAlign w:val="center"/>
          </w:tcPr>
          <w:p>
            <w:pPr>
              <w:adjustRightInd w:val="0"/>
              <w:snapToGrid w:val="0"/>
              <w:rPr>
                <w:rFonts w:ascii="宋体" w:hAnsi="宋体"/>
                <w:sz w:val="24"/>
              </w:rPr>
            </w:pPr>
          </w:p>
        </w:tc>
        <w:tc>
          <w:tcPr>
            <w:tcW w:w="1844" w:type="dxa"/>
            <w:vAlign w:val="center"/>
          </w:tcPr>
          <w:p>
            <w:pPr>
              <w:adjustRightInd w:val="0"/>
              <w:snapToGrid w:val="0"/>
              <w:rPr>
                <w:rFonts w:ascii="宋体" w:hAnsi="宋体"/>
                <w:sz w:val="24"/>
              </w:rPr>
            </w:pPr>
          </w:p>
        </w:tc>
        <w:tc>
          <w:tcPr>
            <w:tcW w:w="1135" w:type="dxa"/>
            <w:vAlign w:val="center"/>
          </w:tcPr>
          <w:p>
            <w:pPr>
              <w:adjustRightInd w:val="0"/>
              <w:snapToGrid w:val="0"/>
              <w:rPr>
                <w:rFonts w:ascii="宋体" w:hAnsi="宋体"/>
                <w:sz w:val="24"/>
              </w:rPr>
            </w:pPr>
          </w:p>
        </w:tc>
        <w:tc>
          <w:tcPr>
            <w:tcW w:w="1277" w:type="dxa"/>
            <w:vAlign w:val="center"/>
          </w:tcPr>
          <w:p>
            <w:pPr>
              <w:adjustRightInd w:val="0"/>
              <w:snapToGrid w:val="0"/>
              <w:rPr>
                <w:rFonts w:ascii="宋体" w:hAnsi="宋体"/>
                <w:sz w:val="24"/>
              </w:rPr>
            </w:pPr>
          </w:p>
        </w:tc>
        <w:tc>
          <w:tcPr>
            <w:tcW w:w="1268" w:type="dxa"/>
            <w:vAlign w:val="center"/>
          </w:tcPr>
          <w:p>
            <w:pPr>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586" w:type="dxa"/>
            <w:vAlign w:val="center"/>
          </w:tcPr>
          <w:p>
            <w:pPr>
              <w:adjustRightInd w:val="0"/>
              <w:snapToGrid w:val="0"/>
              <w:rPr>
                <w:rFonts w:ascii="宋体" w:hAnsi="宋体"/>
                <w:sz w:val="24"/>
              </w:rPr>
            </w:pPr>
          </w:p>
        </w:tc>
        <w:tc>
          <w:tcPr>
            <w:tcW w:w="2529" w:type="dxa"/>
            <w:vAlign w:val="center"/>
          </w:tcPr>
          <w:p>
            <w:pPr>
              <w:adjustRightInd w:val="0"/>
              <w:snapToGrid w:val="0"/>
              <w:rPr>
                <w:rFonts w:ascii="宋体" w:hAnsi="宋体"/>
                <w:sz w:val="24"/>
              </w:rPr>
            </w:pPr>
          </w:p>
        </w:tc>
        <w:tc>
          <w:tcPr>
            <w:tcW w:w="1844" w:type="dxa"/>
            <w:vAlign w:val="center"/>
          </w:tcPr>
          <w:p>
            <w:pPr>
              <w:adjustRightInd w:val="0"/>
              <w:snapToGrid w:val="0"/>
              <w:rPr>
                <w:rFonts w:ascii="宋体" w:hAnsi="宋体"/>
                <w:sz w:val="24"/>
              </w:rPr>
            </w:pPr>
          </w:p>
        </w:tc>
        <w:tc>
          <w:tcPr>
            <w:tcW w:w="1135" w:type="dxa"/>
            <w:vAlign w:val="center"/>
          </w:tcPr>
          <w:p>
            <w:pPr>
              <w:adjustRightInd w:val="0"/>
              <w:snapToGrid w:val="0"/>
              <w:rPr>
                <w:rFonts w:ascii="宋体" w:hAnsi="宋体"/>
                <w:sz w:val="24"/>
              </w:rPr>
            </w:pPr>
          </w:p>
        </w:tc>
        <w:tc>
          <w:tcPr>
            <w:tcW w:w="1277" w:type="dxa"/>
            <w:vAlign w:val="center"/>
          </w:tcPr>
          <w:p>
            <w:pPr>
              <w:adjustRightInd w:val="0"/>
              <w:snapToGrid w:val="0"/>
              <w:rPr>
                <w:rFonts w:ascii="宋体" w:hAnsi="宋体"/>
                <w:sz w:val="24"/>
              </w:rPr>
            </w:pPr>
          </w:p>
        </w:tc>
        <w:tc>
          <w:tcPr>
            <w:tcW w:w="1268" w:type="dxa"/>
            <w:vAlign w:val="center"/>
          </w:tcPr>
          <w:p>
            <w:pPr>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586" w:type="dxa"/>
            <w:vAlign w:val="center"/>
          </w:tcPr>
          <w:p>
            <w:pPr>
              <w:adjustRightInd w:val="0"/>
              <w:snapToGrid w:val="0"/>
              <w:rPr>
                <w:rFonts w:ascii="宋体" w:hAnsi="宋体"/>
                <w:sz w:val="24"/>
              </w:rPr>
            </w:pPr>
          </w:p>
        </w:tc>
        <w:tc>
          <w:tcPr>
            <w:tcW w:w="2529" w:type="dxa"/>
            <w:vAlign w:val="center"/>
          </w:tcPr>
          <w:p>
            <w:pPr>
              <w:adjustRightInd w:val="0"/>
              <w:snapToGrid w:val="0"/>
              <w:rPr>
                <w:rFonts w:ascii="宋体" w:hAnsi="宋体"/>
                <w:sz w:val="24"/>
              </w:rPr>
            </w:pPr>
          </w:p>
        </w:tc>
        <w:tc>
          <w:tcPr>
            <w:tcW w:w="1844" w:type="dxa"/>
            <w:vAlign w:val="center"/>
          </w:tcPr>
          <w:p>
            <w:pPr>
              <w:adjustRightInd w:val="0"/>
              <w:snapToGrid w:val="0"/>
              <w:rPr>
                <w:rFonts w:ascii="宋体" w:hAnsi="宋体"/>
                <w:sz w:val="24"/>
              </w:rPr>
            </w:pPr>
          </w:p>
        </w:tc>
        <w:tc>
          <w:tcPr>
            <w:tcW w:w="1135" w:type="dxa"/>
            <w:vAlign w:val="center"/>
          </w:tcPr>
          <w:p>
            <w:pPr>
              <w:adjustRightInd w:val="0"/>
              <w:snapToGrid w:val="0"/>
              <w:rPr>
                <w:rFonts w:ascii="宋体" w:hAnsi="宋体"/>
                <w:sz w:val="24"/>
              </w:rPr>
            </w:pPr>
          </w:p>
        </w:tc>
        <w:tc>
          <w:tcPr>
            <w:tcW w:w="1277" w:type="dxa"/>
            <w:vAlign w:val="center"/>
          </w:tcPr>
          <w:p>
            <w:pPr>
              <w:adjustRightInd w:val="0"/>
              <w:snapToGrid w:val="0"/>
              <w:rPr>
                <w:rFonts w:ascii="宋体" w:hAnsi="宋体"/>
                <w:sz w:val="24"/>
              </w:rPr>
            </w:pPr>
          </w:p>
        </w:tc>
        <w:tc>
          <w:tcPr>
            <w:tcW w:w="1268" w:type="dxa"/>
            <w:vAlign w:val="center"/>
          </w:tcPr>
          <w:p>
            <w:pPr>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586" w:type="dxa"/>
            <w:vAlign w:val="center"/>
          </w:tcPr>
          <w:p>
            <w:pPr>
              <w:adjustRightInd w:val="0"/>
              <w:snapToGrid w:val="0"/>
              <w:rPr>
                <w:rFonts w:ascii="宋体" w:hAnsi="宋体"/>
                <w:sz w:val="24"/>
              </w:rPr>
            </w:pPr>
          </w:p>
        </w:tc>
        <w:tc>
          <w:tcPr>
            <w:tcW w:w="2529" w:type="dxa"/>
            <w:vAlign w:val="center"/>
          </w:tcPr>
          <w:p>
            <w:pPr>
              <w:adjustRightInd w:val="0"/>
              <w:snapToGrid w:val="0"/>
              <w:rPr>
                <w:rFonts w:ascii="宋体" w:hAnsi="宋体"/>
                <w:sz w:val="24"/>
              </w:rPr>
            </w:pPr>
          </w:p>
        </w:tc>
        <w:tc>
          <w:tcPr>
            <w:tcW w:w="1844" w:type="dxa"/>
            <w:vAlign w:val="center"/>
          </w:tcPr>
          <w:p>
            <w:pPr>
              <w:adjustRightInd w:val="0"/>
              <w:snapToGrid w:val="0"/>
              <w:rPr>
                <w:rFonts w:ascii="宋体" w:hAnsi="宋体"/>
                <w:sz w:val="24"/>
              </w:rPr>
            </w:pPr>
          </w:p>
        </w:tc>
        <w:tc>
          <w:tcPr>
            <w:tcW w:w="1135" w:type="dxa"/>
            <w:vAlign w:val="center"/>
          </w:tcPr>
          <w:p>
            <w:pPr>
              <w:adjustRightInd w:val="0"/>
              <w:snapToGrid w:val="0"/>
              <w:rPr>
                <w:rFonts w:ascii="宋体" w:hAnsi="宋体"/>
                <w:sz w:val="24"/>
              </w:rPr>
            </w:pPr>
          </w:p>
        </w:tc>
        <w:tc>
          <w:tcPr>
            <w:tcW w:w="1277" w:type="dxa"/>
            <w:vAlign w:val="center"/>
          </w:tcPr>
          <w:p>
            <w:pPr>
              <w:adjustRightInd w:val="0"/>
              <w:snapToGrid w:val="0"/>
              <w:rPr>
                <w:rFonts w:ascii="宋体" w:hAnsi="宋体"/>
                <w:sz w:val="24"/>
              </w:rPr>
            </w:pPr>
          </w:p>
        </w:tc>
        <w:tc>
          <w:tcPr>
            <w:tcW w:w="1268" w:type="dxa"/>
            <w:vAlign w:val="center"/>
          </w:tcPr>
          <w:p>
            <w:pPr>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586" w:type="dxa"/>
            <w:vAlign w:val="center"/>
          </w:tcPr>
          <w:p>
            <w:pPr>
              <w:adjustRightInd w:val="0"/>
              <w:snapToGrid w:val="0"/>
              <w:rPr>
                <w:rFonts w:ascii="宋体" w:hAnsi="宋体"/>
                <w:sz w:val="24"/>
              </w:rPr>
            </w:pPr>
          </w:p>
        </w:tc>
        <w:tc>
          <w:tcPr>
            <w:tcW w:w="2529" w:type="dxa"/>
            <w:vAlign w:val="center"/>
          </w:tcPr>
          <w:p>
            <w:pPr>
              <w:adjustRightInd w:val="0"/>
              <w:snapToGrid w:val="0"/>
              <w:rPr>
                <w:rFonts w:ascii="宋体" w:hAnsi="宋体"/>
                <w:sz w:val="24"/>
              </w:rPr>
            </w:pPr>
          </w:p>
        </w:tc>
        <w:tc>
          <w:tcPr>
            <w:tcW w:w="1844" w:type="dxa"/>
            <w:vAlign w:val="center"/>
          </w:tcPr>
          <w:p>
            <w:pPr>
              <w:adjustRightInd w:val="0"/>
              <w:snapToGrid w:val="0"/>
              <w:rPr>
                <w:rFonts w:ascii="宋体" w:hAnsi="宋体"/>
                <w:sz w:val="24"/>
              </w:rPr>
            </w:pPr>
          </w:p>
        </w:tc>
        <w:tc>
          <w:tcPr>
            <w:tcW w:w="1135" w:type="dxa"/>
            <w:vAlign w:val="center"/>
          </w:tcPr>
          <w:p>
            <w:pPr>
              <w:adjustRightInd w:val="0"/>
              <w:snapToGrid w:val="0"/>
              <w:rPr>
                <w:rFonts w:ascii="宋体" w:hAnsi="宋体"/>
                <w:sz w:val="24"/>
              </w:rPr>
            </w:pPr>
          </w:p>
        </w:tc>
        <w:tc>
          <w:tcPr>
            <w:tcW w:w="1277" w:type="dxa"/>
            <w:vAlign w:val="center"/>
          </w:tcPr>
          <w:p>
            <w:pPr>
              <w:adjustRightInd w:val="0"/>
              <w:snapToGrid w:val="0"/>
              <w:rPr>
                <w:rFonts w:ascii="宋体" w:hAnsi="宋体"/>
                <w:sz w:val="24"/>
              </w:rPr>
            </w:pPr>
          </w:p>
        </w:tc>
        <w:tc>
          <w:tcPr>
            <w:tcW w:w="1268" w:type="dxa"/>
            <w:vAlign w:val="center"/>
          </w:tcPr>
          <w:p>
            <w:pPr>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7371" w:type="dxa"/>
            <w:gridSpan w:val="5"/>
            <w:vAlign w:val="center"/>
          </w:tcPr>
          <w:p>
            <w:pPr>
              <w:adjustRightInd w:val="0"/>
              <w:snapToGrid w:val="0"/>
              <w:jc w:val="center"/>
              <w:rPr>
                <w:rFonts w:ascii="宋体" w:hAnsi="宋体"/>
                <w:b/>
                <w:bCs/>
                <w:sz w:val="24"/>
              </w:rPr>
            </w:pPr>
            <w:r>
              <w:rPr>
                <w:rFonts w:hint="eastAsia" w:ascii="宋体" w:hAnsi="宋体"/>
                <w:b/>
                <w:bCs/>
                <w:sz w:val="24"/>
              </w:rPr>
              <w:t>总计</w:t>
            </w:r>
          </w:p>
        </w:tc>
        <w:tc>
          <w:tcPr>
            <w:tcW w:w="1268" w:type="dxa"/>
            <w:vAlign w:val="center"/>
          </w:tcPr>
          <w:p>
            <w:pPr>
              <w:adjustRightInd w:val="0"/>
              <w:snapToGrid w:val="0"/>
              <w:rPr>
                <w:rFonts w:ascii="宋体" w:hAnsi="宋体"/>
                <w:sz w:val="24"/>
              </w:rPr>
            </w:pPr>
          </w:p>
        </w:tc>
      </w:tr>
    </w:tbl>
    <w:p>
      <w:pPr>
        <w:adjustRightInd w:val="0"/>
        <w:snapToGrid w:val="0"/>
        <w:spacing w:line="360" w:lineRule="auto"/>
        <w:ind w:firstLine="240" w:firstLineChars="100"/>
        <w:rPr>
          <w:rFonts w:ascii="宋体" w:hAnsi="宋体"/>
          <w:sz w:val="24"/>
        </w:rPr>
      </w:pPr>
      <w:r>
        <w:rPr>
          <w:rFonts w:hint="eastAsia" w:ascii="宋体" w:hAnsi="宋体"/>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0ODAyZDE4MTZmMGMyZjI2M2ZkMWFiZDkwYmY4ODkifQ=="/>
    <w:docVar w:name="KSO_WPS_MARK_KEY" w:val="7b7c8ad5-055f-44e2-94f5-91a101807397"/>
  </w:docVars>
  <w:rsids>
    <w:rsidRoot w:val="00780533"/>
    <w:rsid w:val="00013253"/>
    <w:rsid w:val="00033506"/>
    <w:rsid w:val="00054ED4"/>
    <w:rsid w:val="000918F9"/>
    <w:rsid w:val="000B75CD"/>
    <w:rsid w:val="000C2885"/>
    <w:rsid w:val="00104960"/>
    <w:rsid w:val="001238C1"/>
    <w:rsid w:val="00156C1B"/>
    <w:rsid w:val="00197142"/>
    <w:rsid w:val="001D5D52"/>
    <w:rsid w:val="00283501"/>
    <w:rsid w:val="002918D2"/>
    <w:rsid w:val="002C34CA"/>
    <w:rsid w:val="002D4F87"/>
    <w:rsid w:val="00305DF8"/>
    <w:rsid w:val="00310793"/>
    <w:rsid w:val="003164E0"/>
    <w:rsid w:val="003814A4"/>
    <w:rsid w:val="00393AB7"/>
    <w:rsid w:val="003A7B48"/>
    <w:rsid w:val="003B6E77"/>
    <w:rsid w:val="003B70B0"/>
    <w:rsid w:val="003E15A9"/>
    <w:rsid w:val="003E29B4"/>
    <w:rsid w:val="003E6C9F"/>
    <w:rsid w:val="00400759"/>
    <w:rsid w:val="00410A51"/>
    <w:rsid w:val="00412FD0"/>
    <w:rsid w:val="00440E63"/>
    <w:rsid w:val="00446C6D"/>
    <w:rsid w:val="0049054C"/>
    <w:rsid w:val="00491C6E"/>
    <w:rsid w:val="004A000B"/>
    <w:rsid w:val="004E5B85"/>
    <w:rsid w:val="004E6CCA"/>
    <w:rsid w:val="004E6D8A"/>
    <w:rsid w:val="004F39C9"/>
    <w:rsid w:val="00524F06"/>
    <w:rsid w:val="00544A6A"/>
    <w:rsid w:val="005601CA"/>
    <w:rsid w:val="00565D45"/>
    <w:rsid w:val="0056652B"/>
    <w:rsid w:val="005761C7"/>
    <w:rsid w:val="00581F20"/>
    <w:rsid w:val="005954BE"/>
    <w:rsid w:val="005A680B"/>
    <w:rsid w:val="005B2566"/>
    <w:rsid w:val="005B5FF8"/>
    <w:rsid w:val="005D3766"/>
    <w:rsid w:val="005E3838"/>
    <w:rsid w:val="00606D60"/>
    <w:rsid w:val="00642D74"/>
    <w:rsid w:val="0066617E"/>
    <w:rsid w:val="006A5367"/>
    <w:rsid w:val="006B5B4E"/>
    <w:rsid w:val="006C60DF"/>
    <w:rsid w:val="006F123F"/>
    <w:rsid w:val="00700FEC"/>
    <w:rsid w:val="00701ACA"/>
    <w:rsid w:val="007508E9"/>
    <w:rsid w:val="00780533"/>
    <w:rsid w:val="00782152"/>
    <w:rsid w:val="007A614E"/>
    <w:rsid w:val="007C446A"/>
    <w:rsid w:val="007E4A87"/>
    <w:rsid w:val="008049BC"/>
    <w:rsid w:val="00811118"/>
    <w:rsid w:val="00814AAF"/>
    <w:rsid w:val="00823295"/>
    <w:rsid w:val="0087546F"/>
    <w:rsid w:val="008A771B"/>
    <w:rsid w:val="008B274E"/>
    <w:rsid w:val="008B3EEC"/>
    <w:rsid w:val="008F47C9"/>
    <w:rsid w:val="00904475"/>
    <w:rsid w:val="0091746F"/>
    <w:rsid w:val="0092674E"/>
    <w:rsid w:val="00953EBF"/>
    <w:rsid w:val="00975651"/>
    <w:rsid w:val="00980C1A"/>
    <w:rsid w:val="00995586"/>
    <w:rsid w:val="009F710B"/>
    <w:rsid w:val="00A25C35"/>
    <w:rsid w:val="00A44984"/>
    <w:rsid w:val="00A64AFD"/>
    <w:rsid w:val="00AA4A1C"/>
    <w:rsid w:val="00AA5768"/>
    <w:rsid w:val="00AA60D4"/>
    <w:rsid w:val="00AE05EE"/>
    <w:rsid w:val="00B162C8"/>
    <w:rsid w:val="00B17E47"/>
    <w:rsid w:val="00B4472B"/>
    <w:rsid w:val="00B8064C"/>
    <w:rsid w:val="00BB554E"/>
    <w:rsid w:val="00BE09E0"/>
    <w:rsid w:val="00C04B9B"/>
    <w:rsid w:val="00C07BC8"/>
    <w:rsid w:val="00C1120D"/>
    <w:rsid w:val="00C268DC"/>
    <w:rsid w:val="00C402CF"/>
    <w:rsid w:val="00C4628A"/>
    <w:rsid w:val="00C70334"/>
    <w:rsid w:val="00C74B5B"/>
    <w:rsid w:val="00CB37C2"/>
    <w:rsid w:val="00CD034A"/>
    <w:rsid w:val="00CE2F22"/>
    <w:rsid w:val="00D01980"/>
    <w:rsid w:val="00D03C56"/>
    <w:rsid w:val="00D211E5"/>
    <w:rsid w:val="00D404BE"/>
    <w:rsid w:val="00D54D4A"/>
    <w:rsid w:val="00D56DD6"/>
    <w:rsid w:val="00D7046E"/>
    <w:rsid w:val="00DD1277"/>
    <w:rsid w:val="00E15EDA"/>
    <w:rsid w:val="00EB6D0C"/>
    <w:rsid w:val="00EC18D7"/>
    <w:rsid w:val="00ED3DFF"/>
    <w:rsid w:val="00EF177D"/>
    <w:rsid w:val="00EF1949"/>
    <w:rsid w:val="00EF2130"/>
    <w:rsid w:val="00EF6930"/>
    <w:rsid w:val="00F07EBF"/>
    <w:rsid w:val="00F4257C"/>
    <w:rsid w:val="00F50361"/>
    <w:rsid w:val="00F63BA0"/>
    <w:rsid w:val="00F91B4D"/>
    <w:rsid w:val="00FA340D"/>
    <w:rsid w:val="00FB22DD"/>
    <w:rsid w:val="00FE44CF"/>
    <w:rsid w:val="0E1B5C3F"/>
    <w:rsid w:val="16144676"/>
    <w:rsid w:val="22D91BE2"/>
    <w:rsid w:val="3D5D2128"/>
    <w:rsid w:val="3ECC0535"/>
    <w:rsid w:val="475358F2"/>
    <w:rsid w:val="5F3978E0"/>
    <w:rsid w:val="62442A98"/>
    <w:rsid w:val="62706760"/>
    <w:rsid w:val="67A41C0C"/>
    <w:rsid w:val="6A2112D0"/>
    <w:rsid w:val="726A26DC"/>
    <w:rsid w:val="748E7CD1"/>
    <w:rsid w:val="773B2F53"/>
    <w:rsid w:val="7A503238"/>
    <w:rsid w:val="7A664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1642</Words>
  <Characters>1649</Characters>
  <Lines>15</Lines>
  <Paragraphs>4</Paragraphs>
  <TotalTime>11</TotalTime>
  <ScaleCrop>false</ScaleCrop>
  <LinksUpToDate>false</LinksUpToDate>
  <CharactersWithSpaces>2132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2019-12-23T05:38:00Z</dcterms:created>
  <dc:creator>86189</dc:creator>
  <cp:lastModifiedBy>Xin</cp:lastModifiedBy>
  <dcterms:modified xsi:type="dcterms:W3CDTF">2024-09-18T07:12:20Z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86205DC99E4B402AB2CCF352645800EA</vt:lpwstr>
  </property>
</Properties>
</file>